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hapterEyebrow"/>
      </w:pPr>
      <w:r>
        <w:t>OGO™ - OPRYNTA™ GUIDE OPS</w:t>
      </w:r>
    </w:p>
    <w:p>
      <w:pPr>
        <w:pStyle w:val="Title"/>
      </w:pPr>
      <w:r>
        <w:t>User &amp; Team</w:t>
        <w:br/>
        <w:t>Operating Playbook</w:t>
      </w:r>
    </w:p>
    <w:p>
      <w:pPr>
        <w:jc w:val="left"/>
      </w:pPr>
      <w:r>
        <w:rPr>
          <w:b/>
          <w:color w:val="0091AA"/>
          <w:sz w:val="24"/>
        </w:rPr>
        <w:t>DOCUMENTATION EDITION  /  FROM REPORTED PAIN TO PROVEN TEAM ACTION</w:t>
      </w:r>
    </w:p>
    <w:p>
      <w:pPr>
        <w:spacing w:before="600" w:after="400"/>
      </w:pPr>
      <w:r>
        <w:rPr>
          <w:color w:val="445260"/>
          <w:sz w:val="30"/>
        </w:rPr>
        <w:t>A searchable operating knowledge base for technical account managers, solutions engineers, field engineers, platform and SRE teams, domain specialists, incident leaders, engineering leaders, and contributors.</w:t>
      </w:r>
    </w:p>
    <w:tbl>
      <w:tblPr>
        <w:tblW w:type="auto" w:w="0"/>
        <w:jc w:val="left"/>
        <w:tblLayout w:type="fixed"/>
        <w:tblLook w:firstColumn="1" w:firstRow="1" w:lastColumn="0" w:lastRow="0" w:noHBand="0" w:noVBand="1" w:val="04A0"/>
      </w:tblPr>
      <w:tblGrid>
        <w:gridCol w:w="5040"/>
        <w:gridCol w:w="5040"/>
      </w:tblGrid>
      <w:tr>
        <w:tc>
          <w:tcPr>
            <w:tcW w:type="dxa" w:w="4680"/>
            <w:tcMar>
              <w:top w:w="160" w:type="dxa"/>
              <w:start w:w="180" w:type="dxa"/>
              <w:bottom w:w="160" w:type="dxa"/>
              <w:end w:w="180" w:type="dxa"/>
            </w:tcMar>
            <w:shd w:fill="F0F7F8"/>
          </w:tcPr>
          <w:p>
            <w:r>
              <w:rPr>
                <w:b/>
                <w:color w:val="008296"/>
                <w:sz w:val="15"/>
              </w:rPr>
              <w:t>LIVING SOURCE</w:t>
              <w:br/>
            </w:r>
            <w:r>
              <w:rPr>
                <w:b/>
                <w:color w:val="112837"/>
                <w:sz w:val="22"/>
              </w:rPr>
              <w:t>/docs</w:t>
            </w:r>
          </w:p>
        </w:tc>
        <w:tc>
          <w:tcPr>
            <w:tcW w:type="dxa" w:w="4680"/>
            <w:tcMar>
              <w:top w:w="160" w:type="dxa"/>
              <w:start w:w="180" w:type="dxa"/>
              <w:bottom w:w="160" w:type="dxa"/>
              <w:end w:w="180" w:type="dxa"/>
            </w:tcMar>
            <w:shd w:fill="F0F7F8"/>
          </w:tcPr>
          <w:p>
            <w:r>
              <w:rPr>
                <w:b/>
                <w:color w:val="008296"/>
                <w:sz w:val="15"/>
              </w:rPr>
              <w:t>REPOSITORY SOURCE</w:t>
              <w:br/>
            </w:r>
            <w:r>
              <w:rPr>
                <w:b/>
                <w:color w:val="112837"/>
                <w:sz w:val="22"/>
              </w:rPr>
              <w:t>docs/*.md</w:t>
            </w:r>
          </w:p>
        </w:tc>
      </w:tr>
      <w:tr>
        <w:tc>
          <w:tcPr>
            <w:tcW w:type="dxa" w:w="4680"/>
            <w:tcMar>
              <w:top w:w="160" w:type="dxa"/>
              <w:start w:w="180" w:type="dxa"/>
              <w:bottom w:w="160" w:type="dxa"/>
              <w:end w:w="180" w:type="dxa"/>
            </w:tcMar>
            <w:shd w:fill="F0F7F8"/>
          </w:tcPr>
          <w:p>
            <w:r>
              <w:rPr>
                <w:b/>
                <w:color w:val="008296"/>
                <w:sz w:val="15"/>
              </w:rPr>
              <w:t>EDITION</w:t>
              <w:br/>
            </w:r>
            <w:r>
              <w:rPr>
                <w:b/>
                <w:color w:val="112837"/>
                <w:sz w:val="22"/>
              </w:rPr>
              <w:t>3.7.1</w:t>
            </w:r>
          </w:p>
        </w:tc>
        <w:tc>
          <w:tcPr>
            <w:tcW w:type="dxa" w:w="4680"/>
            <w:tcMar>
              <w:top w:w="160" w:type="dxa"/>
              <w:start w:w="180" w:type="dxa"/>
              <w:bottom w:w="160" w:type="dxa"/>
              <w:end w:w="180" w:type="dxa"/>
            </w:tcMar>
            <w:shd w:fill="F0F7F8"/>
          </w:tcPr>
          <w:p>
            <w:r>
              <w:rPr>
                <w:b/>
                <w:color w:val="008296"/>
                <w:sz w:val="15"/>
              </w:rPr>
              <w:t>PUBLISHED</w:t>
              <w:br/>
            </w:r>
            <w:r>
              <w:rPr>
                <w:b/>
                <w:color w:val="112837"/>
                <w:sz w:val="22"/>
              </w:rPr>
              <w:t>July 24, 2026</w:t>
            </w:r>
          </w:p>
        </w:tc>
      </w:tr>
    </w:tbl>
    <w:p>
      <w:pPr>
        <w:spacing w:before="720"/>
      </w:pPr>
      <w:r>
        <w:rPr>
          <w:b/>
          <w:color w:val="0091AA"/>
          <w:sz w:val="16"/>
        </w:rPr>
        <w:t>PUBLIC PRODUCT BOUNDARY</w:t>
      </w:r>
    </w:p>
    <w:p>
      <w:pPr>
        <w:pStyle w:val="Callout"/>
      </w:pPr>
      <w:r>
        <w:t>This edition documents the public OGO product: local-first guided diagnostic simulation, evidence gates, approved guide logic, owner routing, command purpose and safety, dossiers, validation, and contribution. It does not expose private Oprynta platform engines or unreleased operating-intelligence methods.</w:t>
      </w:r>
    </w:p>
    <w:p>
      <w:r>
        <w:br w:type="page"/>
      </w:r>
    </w:p>
    <w:p>
      <w:pPr>
        <w:pStyle w:val="Heading1"/>
      </w:pPr>
      <w:r>
        <w:t>Contents</w:t>
      </w:r>
    </w:p>
    <w:p>
      <w:r>
        <w:t>The hosted site supports full-text search, role filtering, chapter links, and on-page navigation. This publication preserves the same chapter sequence for offline use.</w:t>
      </w:r>
    </w:p>
    <w:tbl>
      <w:tblPr>
        <w:tblW w:type="auto" w:w="0"/>
        <w:jc w:val="left"/>
        <w:tblLayout w:type="fixed"/>
        <w:tblLook w:firstColumn="1" w:firstRow="1" w:lastColumn="0" w:lastRow="0" w:noHBand="0" w:noVBand="1" w:val="04A0"/>
      </w:tblPr>
      <w:tblGrid>
        <w:gridCol w:w="3360"/>
        <w:gridCol w:w="3360"/>
        <w:gridCol w:w="3360"/>
      </w:tblGrid>
      <w:tr>
        <w:tc>
          <w:tcPr>
            <w:tcW w:type="dxa" w:w="1080"/>
            <w:shd w:fill="092433"/>
            <w:tcMar>
              <w:top w:w="90" w:type="dxa"/>
              <w:start w:w="100" w:type="dxa"/>
              <w:bottom w:w="90" w:type="dxa"/>
              <w:end w:w="100" w:type="dxa"/>
            </w:tcMar>
          </w:tcPr>
          <w:p>
            <w:r>
              <w:rPr>
                <w:b/>
                <w:color w:val="EBFAFC"/>
                <w:sz w:val="15"/>
              </w:rPr>
              <w:t>CHAPTER</w:t>
            </w:r>
          </w:p>
        </w:tc>
        <w:tc>
          <w:tcPr>
            <w:tcW w:type="dxa" w:w="5328"/>
            <w:shd w:fill="092433"/>
            <w:tcMar>
              <w:top w:w="90" w:type="dxa"/>
              <w:start w:w="100" w:type="dxa"/>
              <w:bottom w:w="90" w:type="dxa"/>
              <w:end w:w="100" w:type="dxa"/>
            </w:tcMar>
          </w:tcPr>
          <w:p>
            <w:r>
              <w:rPr>
                <w:b/>
                <w:color w:val="EBFAFC"/>
                <w:sz w:val="15"/>
              </w:rPr>
              <w:t>TITLE</w:t>
            </w:r>
          </w:p>
        </w:tc>
        <w:tc>
          <w:tcPr>
            <w:tcW w:type="dxa" w:w="3168"/>
            <w:shd w:fill="092433"/>
            <w:tcMar>
              <w:top w:w="90" w:type="dxa"/>
              <w:start w:w="100" w:type="dxa"/>
              <w:bottom w:w="90" w:type="dxa"/>
              <w:end w:w="100" w:type="dxa"/>
            </w:tcMar>
          </w:tcPr>
          <w:p>
            <w:r>
              <w:rPr>
                <w:b/>
                <w:color w:val="EBFAFC"/>
                <w:sz w:val="15"/>
              </w:rPr>
              <w:t>PRIMARY USE</w:t>
            </w:r>
          </w:p>
        </w:tc>
      </w:tr>
      <w:tr>
        <w:tc>
          <w:tcPr>
            <w:tcW w:type="dxa" w:w="3360"/>
            <w:tcMar>
              <w:top w:w="85" w:type="dxa"/>
              <w:start w:w="100" w:type="dxa"/>
              <w:bottom w:w="85" w:type="dxa"/>
              <w:end w:w="100" w:type="dxa"/>
            </w:tcMar>
            <w:vAlign w:val="center"/>
            <w:shd w:fill="F5F8FA"/>
          </w:tcPr>
          <w:p>
            <w:r>
              <w:rPr>
                <w:b/>
                <w:color w:val="1E303C"/>
                <w:sz w:val="16"/>
              </w:rPr>
              <w:t>01</w:t>
            </w:r>
          </w:p>
        </w:tc>
        <w:tc>
          <w:tcPr>
            <w:tcW w:type="dxa" w:w="3360"/>
            <w:tcMar>
              <w:top w:w="85" w:type="dxa"/>
              <w:start w:w="100" w:type="dxa"/>
              <w:bottom w:w="85" w:type="dxa"/>
              <w:end w:w="100" w:type="dxa"/>
            </w:tcMar>
            <w:vAlign w:val="center"/>
            <w:shd w:fill="F5F8FA"/>
          </w:tcPr>
          <w:p>
            <w:r>
              <w:rPr>
                <w:b/>
                <w:color w:val="1E303C"/>
                <w:sz w:val="17"/>
              </w:rPr>
              <w:t>OGO documentation overview</w:t>
            </w:r>
          </w:p>
        </w:tc>
        <w:tc>
          <w:tcPr>
            <w:tcW w:type="dxa" w:w="3360"/>
            <w:tcMar>
              <w:top w:w="85" w:type="dxa"/>
              <w:start w:w="100" w:type="dxa"/>
              <w:bottom w:w="85" w:type="dxa"/>
              <w:end w:w="100" w:type="dxa"/>
            </w:tcMar>
            <w:vAlign w:val="center"/>
            <w:shd w:fill="F5F8FA"/>
          </w:tcPr>
          <w:p>
            <w:r>
              <w:rPr>
                <w:b w:val="0"/>
                <w:color w:val="1E303C"/>
                <w:sz w:val="17"/>
              </w:rPr>
              <w:t>Start Here</w:t>
            </w:r>
          </w:p>
        </w:tc>
      </w:tr>
      <w:tr>
        <w:tc>
          <w:tcPr>
            <w:tcW w:type="dxa" w:w="3360"/>
            <w:tcMar>
              <w:top w:w="85" w:type="dxa"/>
              <w:start w:w="100" w:type="dxa"/>
              <w:bottom w:w="85" w:type="dxa"/>
              <w:end w:w="100" w:type="dxa"/>
            </w:tcMar>
            <w:vAlign w:val="center"/>
          </w:tcPr>
          <w:p>
            <w:r>
              <w:rPr>
                <w:b/>
                <w:color w:val="1E303C"/>
                <w:sz w:val="16"/>
              </w:rPr>
              <w:t>02</w:t>
            </w:r>
          </w:p>
        </w:tc>
        <w:tc>
          <w:tcPr>
            <w:tcW w:type="dxa" w:w="3360"/>
            <w:tcMar>
              <w:top w:w="85" w:type="dxa"/>
              <w:start w:w="100" w:type="dxa"/>
              <w:bottom w:w="85" w:type="dxa"/>
              <w:end w:w="100" w:type="dxa"/>
            </w:tcMar>
            <w:vAlign w:val="center"/>
          </w:tcPr>
          <w:p>
            <w:r>
              <w:rPr>
                <w:b/>
                <w:color w:val="1E303C"/>
                <w:sz w:val="17"/>
              </w:rPr>
              <w:t>What OGO is and is not</w:t>
            </w:r>
          </w:p>
        </w:tc>
        <w:tc>
          <w:tcPr>
            <w:tcW w:type="dxa" w:w="3360"/>
            <w:tcMar>
              <w:top w:w="85" w:type="dxa"/>
              <w:start w:w="100" w:type="dxa"/>
              <w:bottom w:w="85" w:type="dxa"/>
              <w:end w:w="100" w:type="dxa"/>
            </w:tcMar>
            <w:vAlign w:val="center"/>
          </w:tcPr>
          <w:p>
            <w:r>
              <w:rPr>
                <w:b w:val="0"/>
                <w:color w:val="1E303C"/>
                <w:sz w:val="17"/>
              </w:rPr>
              <w:t>Start Here</w:t>
            </w:r>
          </w:p>
        </w:tc>
      </w:tr>
      <w:tr>
        <w:tc>
          <w:tcPr>
            <w:tcW w:type="dxa" w:w="3360"/>
            <w:tcMar>
              <w:top w:w="85" w:type="dxa"/>
              <w:start w:w="100" w:type="dxa"/>
              <w:bottom w:w="85" w:type="dxa"/>
              <w:end w:w="100" w:type="dxa"/>
            </w:tcMar>
            <w:vAlign w:val="center"/>
            <w:shd w:fill="F5F8FA"/>
          </w:tcPr>
          <w:p>
            <w:r>
              <w:rPr>
                <w:b/>
                <w:color w:val="1E303C"/>
                <w:sz w:val="16"/>
              </w:rPr>
              <w:t>03</w:t>
            </w:r>
          </w:p>
        </w:tc>
        <w:tc>
          <w:tcPr>
            <w:tcW w:type="dxa" w:w="3360"/>
            <w:tcMar>
              <w:top w:w="85" w:type="dxa"/>
              <w:start w:w="100" w:type="dxa"/>
              <w:bottom w:w="85" w:type="dxa"/>
              <w:end w:w="100" w:type="dxa"/>
            </w:tcMar>
            <w:vAlign w:val="center"/>
            <w:shd w:fill="F5F8FA"/>
          </w:tcPr>
          <w:p>
            <w:r>
              <w:rPr>
                <w:b/>
                <w:color w:val="1E303C"/>
                <w:sz w:val="17"/>
              </w:rPr>
              <w:t>Quick start</w:t>
            </w:r>
          </w:p>
        </w:tc>
        <w:tc>
          <w:tcPr>
            <w:tcW w:type="dxa" w:w="3360"/>
            <w:tcMar>
              <w:top w:w="85" w:type="dxa"/>
              <w:start w:w="100" w:type="dxa"/>
              <w:bottom w:w="85" w:type="dxa"/>
              <w:end w:w="100" w:type="dxa"/>
            </w:tcMar>
            <w:vAlign w:val="center"/>
            <w:shd w:fill="F5F8FA"/>
          </w:tcPr>
          <w:p>
            <w:r>
              <w:rPr>
                <w:b w:val="0"/>
                <w:color w:val="1E303C"/>
                <w:sz w:val="17"/>
              </w:rPr>
              <w:t>Start Here</w:t>
            </w:r>
          </w:p>
        </w:tc>
      </w:tr>
      <w:tr>
        <w:tc>
          <w:tcPr>
            <w:tcW w:type="dxa" w:w="3360"/>
            <w:tcMar>
              <w:top w:w="85" w:type="dxa"/>
              <w:start w:w="100" w:type="dxa"/>
              <w:bottom w:w="85" w:type="dxa"/>
              <w:end w:w="100" w:type="dxa"/>
            </w:tcMar>
            <w:vAlign w:val="center"/>
          </w:tcPr>
          <w:p>
            <w:r>
              <w:rPr>
                <w:b/>
                <w:color w:val="1E303C"/>
                <w:sz w:val="16"/>
              </w:rPr>
              <w:t>04</w:t>
            </w:r>
          </w:p>
        </w:tc>
        <w:tc>
          <w:tcPr>
            <w:tcW w:type="dxa" w:w="3360"/>
            <w:tcMar>
              <w:top w:w="85" w:type="dxa"/>
              <w:start w:w="100" w:type="dxa"/>
              <w:bottom w:w="85" w:type="dxa"/>
              <w:end w:w="100" w:type="dxa"/>
            </w:tcMar>
            <w:vAlign w:val="center"/>
          </w:tcPr>
          <w:p>
            <w:r>
              <w:rPr>
                <w:b/>
                <w:color w:val="1E303C"/>
                <w:sz w:val="17"/>
              </w:rPr>
              <w:t>The shared operating path</w:t>
            </w:r>
          </w:p>
        </w:tc>
        <w:tc>
          <w:tcPr>
            <w:tcW w:type="dxa" w:w="3360"/>
            <w:tcMar>
              <w:top w:w="85" w:type="dxa"/>
              <w:start w:w="100" w:type="dxa"/>
              <w:bottom w:w="85" w:type="dxa"/>
              <w:end w:w="100" w:type="dxa"/>
            </w:tcMar>
            <w:vAlign w:val="center"/>
          </w:tcPr>
          <w:p>
            <w:r>
              <w:rPr>
                <w:b w:val="0"/>
                <w:color w:val="1E303C"/>
                <w:sz w:val="17"/>
              </w:rPr>
              <w:t>Start Here</w:t>
            </w:r>
          </w:p>
        </w:tc>
      </w:tr>
      <w:tr>
        <w:tc>
          <w:tcPr>
            <w:tcW w:type="dxa" w:w="3360"/>
            <w:tcMar>
              <w:top w:w="85" w:type="dxa"/>
              <w:start w:w="100" w:type="dxa"/>
              <w:bottom w:w="85" w:type="dxa"/>
              <w:end w:w="100" w:type="dxa"/>
            </w:tcMar>
            <w:vAlign w:val="center"/>
            <w:shd w:fill="F5F8FA"/>
          </w:tcPr>
          <w:p>
            <w:r>
              <w:rPr>
                <w:b/>
                <w:color w:val="1E303C"/>
                <w:sz w:val="16"/>
              </w:rPr>
              <w:t>05</w:t>
            </w:r>
          </w:p>
        </w:tc>
        <w:tc>
          <w:tcPr>
            <w:tcW w:type="dxa" w:w="3360"/>
            <w:tcMar>
              <w:top w:w="85" w:type="dxa"/>
              <w:start w:w="100" w:type="dxa"/>
              <w:bottom w:w="85" w:type="dxa"/>
              <w:end w:w="100" w:type="dxa"/>
            </w:tcMar>
            <w:vAlign w:val="center"/>
            <w:shd w:fill="F5F8FA"/>
          </w:tcPr>
          <w:p>
            <w:r>
              <w:rPr>
                <w:b/>
                <w:color w:val="1E303C"/>
                <w:sz w:val="17"/>
              </w:rPr>
              <w:t>Incident operating rhythm</w:t>
            </w:r>
          </w:p>
        </w:tc>
        <w:tc>
          <w:tcPr>
            <w:tcW w:type="dxa" w:w="3360"/>
            <w:tcMar>
              <w:top w:w="85" w:type="dxa"/>
              <w:start w:w="100" w:type="dxa"/>
              <w:bottom w:w="85" w:type="dxa"/>
              <w:end w:w="100" w:type="dxa"/>
            </w:tcMar>
            <w:vAlign w:val="center"/>
            <w:shd w:fill="F5F8FA"/>
          </w:tcPr>
          <w:p>
            <w:r>
              <w:rPr>
                <w:b w:val="0"/>
                <w:color w:val="1E303C"/>
                <w:sz w:val="17"/>
              </w:rPr>
              <w:t>Start Here</w:t>
            </w:r>
          </w:p>
        </w:tc>
      </w:tr>
      <w:tr>
        <w:tc>
          <w:tcPr>
            <w:tcW w:type="dxa" w:w="3360"/>
            <w:tcMar>
              <w:top w:w="85" w:type="dxa"/>
              <w:start w:w="100" w:type="dxa"/>
              <w:bottom w:w="85" w:type="dxa"/>
              <w:end w:w="100" w:type="dxa"/>
            </w:tcMar>
            <w:vAlign w:val="center"/>
          </w:tcPr>
          <w:p>
            <w:r>
              <w:rPr>
                <w:b/>
                <w:color w:val="1E303C"/>
                <w:sz w:val="16"/>
              </w:rPr>
              <w:t>06</w:t>
            </w:r>
          </w:p>
        </w:tc>
        <w:tc>
          <w:tcPr>
            <w:tcW w:type="dxa" w:w="3360"/>
            <w:tcMar>
              <w:top w:w="85" w:type="dxa"/>
              <w:start w:w="100" w:type="dxa"/>
              <w:bottom w:w="85" w:type="dxa"/>
              <w:end w:w="100" w:type="dxa"/>
            </w:tcMar>
            <w:vAlign w:val="center"/>
          </w:tcPr>
          <w:p>
            <w:r>
              <w:rPr>
                <w:b/>
                <w:color w:val="1E303C"/>
                <w:sz w:val="17"/>
              </w:rPr>
              <w:t>Technical Account Manager playbook</w:t>
            </w:r>
          </w:p>
        </w:tc>
        <w:tc>
          <w:tcPr>
            <w:tcW w:type="dxa" w:w="3360"/>
            <w:tcMar>
              <w:top w:w="85" w:type="dxa"/>
              <w:start w:w="100" w:type="dxa"/>
              <w:bottom w:w="85" w:type="dxa"/>
              <w:end w:w="100" w:type="dxa"/>
            </w:tcMar>
            <w:vAlign w:val="center"/>
          </w:tcPr>
          <w:p>
            <w:r>
              <w:rPr>
                <w:b w:val="0"/>
                <w:color w:val="1E303C"/>
                <w:sz w:val="17"/>
              </w:rPr>
              <w:t>Roles</w:t>
            </w:r>
          </w:p>
        </w:tc>
      </w:tr>
      <w:tr>
        <w:tc>
          <w:tcPr>
            <w:tcW w:type="dxa" w:w="3360"/>
            <w:tcMar>
              <w:top w:w="85" w:type="dxa"/>
              <w:start w:w="100" w:type="dxa"/>
              <w:bottom w:w="85" w:type="dxa"/>
              <w:end w:w="100" w:type="dxa"/>
            </w:tcMar>
            <w:vAlign w:val="center"/>
            <w:shd w:fill="F5F8FA"/>
          </w:tcPr>
          <w:p>
            <w:r>
              <w:rPr>
                <w:b/>
                <w:color w:val="1E303C"/>
                <w:sz w:val="16"/>
              </w:rPr>
              <w:t>07</w:t>
            </w:r>
          </w:p>
        </w:tc>
        <w:tc>
          <w:tcPr>
            <w:tcW w:type="dxa" w:w="3360"/>
            <w:tcMar>
              <w:top w:w="85" w:type="dxa"/>
              <w:start w:w="100" w:type="dxa"/>
              <w:bottom w:w="85" w:type="dxa"/>
              <w:end w:w="100" w:type="dxa"/>
            </w:tcMar>
            <w:vAlign w:val="center"/>
            <w:shd w:fill="F5F8FA"/>
          </w:tcPr>
          <w:p>
            <w:r>
              <w:rPr>
                <w:b/>
                <w:color w:val="1E303C"/>
                <w:sz w:val="17"/>
              </w:rPr>
              <w:t>Solutions Engineer and Architect playbook</w:t>
            </w:r>
          </w:p>
        </w:tc>
        <w:tc>
          <w:tcPr>
            <w:tcW w:type="dxa" w:w="3360"/>
            <w:tcMar>
              <w:top w:w="85" w:type="dxa"/>
              <w:start w:w="100" w:type="dxa"/>
              <w:bottom w:w="85" w:type="dxa"/>
              <w:end w:w="100" w:type="dxa"/>
            </w:tcMar>
            <w:vAlign w:val="center"/>
            <w:shd w:fill="F5F8FA"/>
          </w:tcPr>
          <w:p>
            <w:r>
              <w:rPr>
                <w:b w:val="0"/>
                <w:color w:val="1E303C"/>
                <w:sz w:val="17"/>
              </w:rPr>
              <w:t>Roles</w:t>
            </w:r>
          </w:p>
        </w:tc>
      </w:tr>
      <w:tr>
        <w:tc>
          <w:tcPr>
            <w:tcW w:type="dxa" w:w="3360"/>
            <w:tcMar>
              <w:top w:w="85" w:type="dxa"/>
              <w:start w:w="100" w:type="dxa"/>
              <w:bottom w:w="85" w:type="dxa"/>
              <w:end w:w="100" w:type="dxa"/>
            </w:tcMar>
            <w:vAlign w:val="center"/>
          </w:tcPr>
          <w:p>
            <w:r>
              <w:rPr>
                <w:b/>
                <w:color w:val="1E303C"/>
                <w:sz w:val="16"/>
              </w:rPr>
              <w:t>08</w:t>
            </w:r>
          </w:p>
        </w:tc>
        <w:tc>
          <w:tcPr>
            <w:tcW w:type="dxa" w:w="3360"/>
            <w:tcMar>
              <w:top w:w="85" w:type="dxa"/>
              <w:start w:w="100" w:type="dxa"/>
              <w:bottom w:w="85" w:type="dxa"/>
              <w:end w:w="100" w:type="dxa"/>
            </w:tcMar>
            <w:vAlign w:val="center"/>
          </w:tcPr>
          <w:p>
            <w:r>
              <w:rPr>
                <w:b/>
                <w:color w:val="1E303C"/>
                <w:sz w:val="17"/>
              </w:rPr>
              <w:t>Resident and Field Engineer playbook</w:t>
            </w:r>
          </w:p>
        </w:tc>
        <w:tc>
          <w:tcPr>
            <w:tcW w:type="dxa" w:w="3360"/>
            <w:tcMar>
              <w:top w:w="85" w:type="dxa"/>
              <w:start w:w="100" w:type="dxa"/>
              <w:bottom w:w="85" w:type="dxa"/>
              <w:end w:w="100" w:type="dxa"/>
            </w:tcMar>
            <w:vAlign w:val="center"/>
          </w:tcPr>
          <w:p>
            <w:r>
              <w:rPr>
                <w:b w:val="0"/>
                <w:color w:val="1E303C"/>
                <w:sz w:val="17"/>
              </w:rPr>
              <w:t>Roles</w:t>
            </w:r>
          </w:p>
        </w:tc>
      </w:tr>
      <w:tr>
        <w:tc>
          <w:tcPr>
            <w:tcW w:type="dxa" w:w="3360"/>
            <w:tcMar>
              <w:top w:w="85" w:type="dxa"/>
              <w:start w:w="100" w:type="dxa"/>
              <w:bottom w:w="85" w:type="dxa"/>
              <w:end w:w="100" w:type="dxa"/>
            </w:tcMar>
            <w:vAlign w:val="center"/>
            <w:shd w:fill="F5F8FA"/>
          </w:tcPr>
          <w:p>
            <w:r>
              <w:rPr>
                <w:b/>
                <w:color w:val="1E303C"/>
                <w:sz w:val="16"/>
              </w:rPr>
              <w:t>09</w:t>
            </w:r>
          </w:p>
        </w:tc>
        <w:tc>
          <w:tcPr>
            <w:tcW w:type="dxa" w:w="3360"/>
            <w:tcMar>
              <w:top w:w="85" w:type="dxa"/>
              <w:start w:w="100" w:type="dxa"/>
              <w:bottom w:w="85" w:type="dxa"/>
              <w:end w:w="100" w:type="dxa"/>
            </w:tcMar>
            <w:vAlign w:val="center"/>
            <w:shd w:fill="F5F8FA"/>
          </w:tcPr>
          <w:p>
            <w:r>
              <w:rPr>
                <w:b/>
                <w:color w:val="1E303C"/>
                <w:sz w:val="17"/>
              </w:rPr>
              <w:t>Platform, SRE, and Operations playbook</w:t>
            </w:r>
          </w:p>
        </w:tc>
        <w:tc>
          <w:tcPr>
            <w:tcW w:type="dxa" w:w="3360"/>
            <w:tcMar>
              <w:top w:w="85" w:type="dxa"/>
              <w:start w:w="100" w:type="dxa"/>
              <w:bottom w:w="85" w:type="dxa"/>
              <w:end w:w="100" w:type="dxa"/>
            </w:tcMar>
            <w:vAlign w:val="center"/>
            <w:shd w:fill="F5F8FA"/>
          </w:tcPr>
          <w:p>
            <w:r>
              <w:rPr>
                <w:b w:val="0"/>
                <w:color w:val="1E303C"/>
                <w:sz w:val="17"/>
              </w:rPr>
              <w:t>Roles</w:t>
            </w:r>
          </w:p>
        </w:tc>
      </w:tr>
      <w:tr>
        <w:tc>
          <w:tcPr>
            <w:tcW w:type="dxa" w:w="3360"/>
            <w:tcMar>
              <w:top w:w="85" w:type="dxa"/>
              <w:start w:w="100" w:type="dxa"/>
              <w:bottom w:w="85" w:type="dxa"/>
              <w:end w:w="100" w:type="dxa"/>
            </w:tcMar>
            <w:vAlign w:val="center"/>
          </w:tcPr>
          <w:p>
            <w:r>
              <w:rPr>
                <w:b/>
                <w:color w:val="1E303C"/>
                <w:sz w:val="16"/>
              </w:rPr>
              <w:t>10</w:t>
            </w:r>
          </w:p>
        </w:tc>
        <w:tc>
          <w:tcPr>
            <w:tcW w:type="dxa" w:w="3360"/>
            <w:tcMar>
              <w:top w:w="85" w:type="dxa"/>
              <w:start w:w="100" w:type="dxa"/>
              <w:bottom w:w="85" w:type="dxa"/>
              <w:end w:w="100" w:type="dxa"/>
            </w:tcMar>
            <w:vAlign w:val="center"/>
          </w:tcPr>
          <w:p>
            <w:r>
              <w:rPr>
                <w:b/>
                <w:color w:val="1E303C"/>
                <w:sz w:val="17"/>
              </w:rPr>
              <w:t>Domain Specialist playbook</w:t>
            </w:r>
          </w:p>
        </w:tc>
        <w:tc>
          <w:tcPr>
            <w:tcW w:type="dxa" w:w="3360"/>
            <w:tcMar>
              <w:top w:w="85" w:type="dxa"/>
              <w:start w:w="100" w:type="dxa"/>
              <w:bottom w:w="85" w:type="dxa"/>
              <w:end w:w="100" w:type="dxa"/>
            </w:tcMar>
            <w:vAlign w:val="center"/>
          </w:tcPr>
          <w:p>
            <w:r>
              <w:rPr>
                <w:b w:val="0"/>
                <w:color w:val="1E303C"/>
                <w:sz w:val="17"/>
              </w:rPr>
              <w:t>Roles</w:t>
            </w:r>
          </w:p>
        </w:tc>
      </w:tr>
      <w:tr>
        <w:tc>
          <w:tcPr>
            <w:tcW w:type="dxa" w:w="3360"/>
            <w:tcMar>
              <w:top w:w="85" w:type="dxa"/>
              <w:start w:w="100" w:type="dxa"/>
              <w:bottom w:w="85" w:type="dxa"/>
              <w:end w:w="100" w:type="dxa"/>
            </w:tcMar>
            <w:vAlign w:val="center"/>
            <w:shd w:fill="F5F8FA"/>
          </w:tcPr>
          <w:p>
            <w:r>
              <w:rPr>
                <w:b/>
                <w:color w:val="1E303C"/>
                <w:sz w:val="16"/>
              </w:rPr>
              <w:t>11</w:t>
            </w:r>
          </w:p>
        </w:tc>
        <w:tc>
          <w:tcPr>
            <w:tcW w:type="dxa" w:w="3360"/>
            <w:tcMar>
              <w:top w:w="85" w:type="dxa"/>
              <w:start w:w="100" w:type="dxa"/>
              <w:bottom w:w="85" w:type="dxa"/>
              <w:end w:w="100" w:type="dxa"/>
            </w:tcMar>
            <w:vAlign w:val="center"/>
            <w:shd w:fill="F5F8FA"/>
          </w:tcPr>
          <w:p>
            <w:r>
              <w:rPr>
                <w:b/>
                <w:color w:val="1E303C"/>
                <w:sz w:val="17"/>
              </w:rPr>
              <w:t>Incident and Program Leader playbook</w:t>
            </w:r>
          </w:p>
        </w:tc>
        <w:tc>
          <w:tcPr>
            <w:tcW w:type="dxa" w:w="3360"/>
            <w:tcMar>
              <w:top w:w="85" w:type="dxa"/>
              <w:start w:w="100" w:type="dxa"/>
              <w:bottom w:w="85" w:type="dxa"/>
              <w:end w:w="100" w:type="dxa"/>
            </w:tcMar>
            <w:vAlign w:val="center"/>
            <w:shd w:fill="F5F8FA"/>
          </w:tcPr>
          <w:p>
            <w:r>
              <w:rPr>
                <w:b w:val="0"/>
                <w:color w:val="1E303C"/>
                <w:sz w:val="17"/>
              </w:rPr>
              <w:t>Roles</w:t>
            </w:r>
          </w:p>
        </w:tc>
      </w:tr>
      <w:tr>
        <w:tc>
          <w:tcPr>
            <w:tcW w:type="dxa" w:w="3360"/>
            <w:tcMar>
              <w:top w:w="85" w:type="dxa"/>
              <w:start w:w="100" w:type="dxa"/>
              <w:bottom w:w="85" w:type="dxa"/>
              <w:end w:w="100" w:type="dxa"/>
            </w:tcMar>
            <w:vAlign w:val="center"/>
          </w:tcPr>
          <w:p>
            <w:r>
              <w:rPr>
                <w:b/>
                <w:color w:val="1E303C"/>
                <w:sz w:val="16"/>
              </w:rPr>
              <w:t>12</w:t>
            </w:r>
          </w:p>
        </w:tc>
        <w:tc>
          <w:tcPr>
            <w:tcW w:type="dxa" w:w="3360"/>
            <w:tcMar>
              <w:top w:w="85" w:type="dxa"/>
              <w:start w:w="100" w:type="dxa"/>
              <w:bottom w:w="85" w:type="dxa"/>
              <w:end w:w="100" w:type="dxa"/>
            </w:tcMar>
            <w:vAlign w:val="center"/>
          </w:tcPr>
          <w:p>
            <w:r>
              <w:rPr>
                <w:b/>
                <w:color w:val="1E303C"/>
                <w:sz w:val="17"/>
              </w:rPr>
              <w:t>Engineering and Operations Leader playbook</w:t>
            </w:r>
          </w:p>
        </w:tc>
        <w:tc>
          <w:tcPr>
            <w:tcW w:type="dxa" w:w="3360"/>
            <w:tcMar>
              <w:top w:w="85" w:type="dxa"/>
              <w:start w:w="100" w:type="dxa"/>
              <w:bottom w:w="85" w:type="dxa"/>
              <w:end w:w="100" w:type="dxa"/>
            </w:tcMar>
            <w:vAlign w:val="center"/>
          </w:tcPr>
          <w:p>
            <w:r>
              <w:rPr>
                <w:b w:val="0"/>
                <w:color w:val="1E303C"/>
                <w:sz w:val="17"/>
              </w:rPr>
              <w:t>Roles</w:t>
            </w:r>
          </w:p>
        </w:tc>
      </w:tr>
      <w:tr>
        <w:tc>
          <w:tcPr>
            <w:tcW w:type="dxa" w:w="3360"/>
            <w:tcMar>
              <w:top w:w="85" w:type="dxa"/>
              <w:start w:w="100" w:type="dxa"/>
              <w:bottom w:w="85" w:type="dxa"/>
              <w:end w:w="100" w:type="dxa"/>
            </w:tcMar>
            <w:vAlign w:val="center"/>
            <w:shd w:fill="F5F8FA"/>
          </w:tcPr>
          <w:p>
            <w:r>
              <w:rPr>
                <w:b/>
                <w:color w:val="1E303C"/>
                <w:sz w:val="16"/>
              </w:rPr>
              <w:t>13</w:t>
            </w:r>
          </w:p>
        </w:tc>
        <w:tc>
          <w:tcPr>
            <w:tcW w:type="dxa" w:w="3360"/>
            <w:tcMar>
              <w:top w:w="85" w:type="dxa"/>
              <w:start w:w="100" w:type="dxa"/>
              <w:bottom w:w="85" w:type="dxa"/>
              <w:end w:w="100" w:type="dxa"/>
            </w:tcMar>
            <w:vAlign w:val="center"/>
            <w:shd w:fill="F5F8FA"/>
          </w:tcPr>
          <w:p>
            <w:r>
              <w:rPr>
                <w:b/>
                <w:color w:val="1E303C"/>
                <w:sz w:val="17"/>
              </w:rPr>
              <w:t>Technology domain walkthroughs</w:t>
            </w:r>
          </w:p>
        </w:tc>
        <w:tc>
          <w:tcPr>
            <w:tcW w:type="dxa" w:w="3360"/>
            <w:tcMar>
              <w:top w:w="85" w:type="dxa"/>
              <w:start w:w="100" w:type="dxa"/>
              <w:bottom w:w="85" w:type="dxa"/>
              <w:end w:w="100" w:type="dxa"/>
            </w:tcMar>
            <w:vAlign w:val="center"/>
            <w:shd w:fill="F5F8FA"/>
          </w:tcPr>
          <w:p>
            <w:r>
              <w:rPr>
                <w:b w:val="0"/>
                <w:color w:val="1E303C"/>
                <w:sz w:val="17"/>
              </w:rPr>
              <w:t>Operating Safely</w:t>
            </w:r>
          </w:p>
        </w:tc>
      </w:tr>
      <w:tr>
        <w:tc>
          <w:tcPr>
            <w:tcW w:type="dxa" w:w="3360"/>
            <w:tcMar>
              <w:top w:w="85" w:type="dxa"/>
              <w:start w:w="100" w:type="dxa"/>
              <w:bottom w:w="85" w:type="dxa"/>
              <w:end w:w="100" w:type="dxa"/>
            </w:tcMar>
            <w:vAlign w:val="center"/>
          </w:tcPr>
          <w:p>
            <w:r>
              <w:rPr>
                <w:b/>
                <w:color w:val="1E303C"/>
                <w:sz w:val="16"/>
              </w:rPr>
              <w:t>14</w:t>
            </w:r>
          </w:p>
        </w:tc>
        <w:tc>
          <w:tcPr>
            <w:tcW w:type="dxa" w:w="3360"/>
            <w:tcMar>
              <w:top w:w="85" w:type="dxa"/>
              <w:start w:w="100" w:type="dxa"/>
              <w:bottom w:w="85" w:type="dxa"/>
              <w:end w:w="100" w:type="dxa"/>
            </w:tcMar>
            <w:vAlign w:val="center"/>
          </w:tcPr>
          <w:p>
            <w:r>
              <w:rPr>
                <w:b/>
                <w:color w:val="1E303C"/>
                <w:sz w:val="17"/>
              </w:rPr>
              <w:t>Evidence quality and command safety</w:t>
            </w:r>
          </w:p>
        </w:tc>
        <w:tc>
          <w:tcPr>
            <w:tcW w:type="dxa" w:w="3360"/>
            <w:tcMar>
              <w:top w:w="85" w:type="dxa"/>
              <w:start w:w="100" w:type="dxa"/>
              <w:bottom w:w="85" w:type="dxa"/>
              <w:end w:w="100" w:type="dxa"/>
            </w:tcMar>
            <w:vAlign w:val="center"/>
          </w:tcPr>
          <w:p>
            <w:r>
              <w:rPr>
                <w:b w:val="0"/>
                <w:color w:val="1E303C"/>
                <w:sz w:val="17"/>
              </w:rPr>
              <w:t>Operating Safely</w:t>
            </w:r>
          </w:p>
        </w:tc>
      </w:tr>
      <w:tr>
        <w:tc>
          <w:tcPr>
            <w:tcW w:type="dxa" w:w="3360"/>
            <w:tcMar>
              <w:top w:w="85" w:type="dxa"/>
              <w:start w:w="100" w:type="dxa"/>
              <w:bottom w:w="85" w:type="dxa"/>
              <w:end w:w="100" w:type="dxa"/>
            </w:tcMar>
            <w:vAlign w:val="center"/>
            <w:shd w:fill="F5F8FA"/>
          </w:tcPr>
          <w:p>
            <w:r>
              <w:rPr>
                <w:b/>
                <w:color w:val="1E303C"/>
                <w:sz w:val="16"/>
              </w:rPr>
              <w:t>15</w:t>
            </w:r>
          </w:p>
        </w:tc>
        <w:tc>
          <w:tcPr>
            <w:tcW w:type="dxa" w:w="3360"/>
            <w:tcMar>
              <w:top w:w="85" w:type="dxa"/>
              <w:start w:w="100" w:type="dxa"/>
              <w:bottom w:w="85" w:type="dxa"/>
              <w:end w:w="100" w:type="dxa"/>
            </w:tcMar>
            <w:vAlign w:val="center"/>
            <w:shd w:fill="F5F8FA"/>
          </w:tcPr>
          <w:p>
            <w:r>
              <w:rPr>
                <w:b/>
                <w:color w:val="1E303C"/>
                <w:sz w:val="17"/>
              </w:rPr>
              <w:t>Optional AI, BYOK, and privacy</w:t>
            </w:r>
          </w:p>
        </w:tc>
        <w:tc>
          <w:tcPr>
            <w:tcW w:type="dxa" w:w="3360"/>
            <w:tcMar>
              <w:top w:w="85" w:type="dxa"/>
              <w:start w:w="100" w:type="dxa"/>
              <w:bottom w:w="85" w:type="dxa"/>
              <w:end w:w="100" w:type="dxa"/>
            </w:tcMar>
            <w:vAlign w:val="center"/>
            <w:shd w:fill="F5F8FA"/>
          </w:tcPr>
          <w:p>
            <w:r>
              <w:rPr>
                <w:b w:val="0"/>
                <w:color w:val="1E303C"/>
                <w:sz w:val="17"/>
              </w:rPr>
              <w:t>Operating Safely</w:t>
            </w:r>
          </w:p>
        </w:tc>
      </w:tr>
      <w:tr>
        <w:tc>
          <w:tcPr>
            <w:tcW w:type="dxa" w:w="3360"/>
            <w:tcMar>
              <w:top w:w="85" w:type="dxa"/>
              <w:start w:w="100" w:type="dxa"/>
              <w:bottom w:w="85" w:type="dxa"/>
              <w:end w:w="100" w:type="dxa"/>
            </w:tcMar>
            <w:vAlign w:val="center"/>
          </w:tcPr>
          <w:p>
            <w:r>
              <w:rPr>
                <w:b/>
                <w:color w:val="1E303C"/>
                <w:sz w:val="16"/>
              </w:rPr>
              <w:t>16</w:t>
            </w:r>
          </w:p>
        </w:tc>
        <w:tc>
          <w:tcPr>
            <w:tcW w:type="dxa" w:w="3360"/>
            <w:tcMar>
              <w:top w:w="85" w:type="dxa"/>
              <w:start w:w="100" w:type="dxa"/>
              <w:bottom w:w="85" w:type="dxa"/>
              <w:end w:w="100" w:type="dxa"/>
            </w:tcMar>
            <w:vAlign w:val="center"/>
          </w:tcPr>
          <w:p>
            <w:r>
              <w:rPr>
                <w:b/>
                <w:color w:val="1E303C"/>
                <w:sz w:val="17"/>
              </w:rPr>
              <w:t>Dossiers and escalation packets</w:t>
            </w:r>
          </w:p>
        </w:tc>
        <w:tc>
          <w:tcPr>
            <w:tcW w:type="dxa" w:w="3360"/>
            <w:tcMar>
              <w:top w:w="85" w:type="dxa"/>
              <w:start w:w="100" w:type="dxa"/>
              <w:bottom w:w="85" w:type="dxa"/>
              <w:end w:w="100" w:type="dxa"/>
            </w:tcMar>
            <w:vAlign w:val="center"/>
          </w:tcPr>
          <w:p>
            <w:r>
              <w:rPr>
                <w:b w:val="0"/>
                <w:color w:val="1E303C"/>
                <w:sz w:val="17"/>
              </w:rPr>
              <w:t>Operating Safely</w:t>
            </w:r>
          </w:p>
        </w:tc>
      </w:tr>
      <w:tr>
        <w:tc>
          <w:tcPr>
            <w:tcW w:type="dxa" w:w="3360"/>
            <w:tcMar>
              <w:top w:w="85" w:type="dxa"/>
              <w:start w:w="100" w:type="dxa"/>
              <w:bottom w:w="85" w:type="dxa"/>
              <w:end w:w="100" w:type="dxa"/>
            </w:tcMar>
            <w:vAlign w:val="center"/>
            <w:shd w:fill="F5F8FA"/>
          </w:tcPr>
          <w:p>
            <w:r>
              <w:rPr>
                <w:b/>
                <w:color w:val="1E303C"/>
                <w:sz w:val="16"/>
              </w:rPr>
              <w:t>17</w:t>
            </w:r>
          </w:p>
        </w:tc>
        <w:tc>
          <w:tcPr>
            <w:tcW w:type="dxa" w:w="3360"/>
            <w:tcMar>
              <w:top w:w="85" w:type="dxa"/>
              <w:start w:w="100" w:type="dxa"/>
              <w:bottom w:w="85" w:type="dxa"/>
              <w:end w:w="100" w:type="dxa"/>
            </w:tcMar>
            <w:vAlign w:val="center"/>
            <w:shd w:fill="F5F8FA"/>
          </w:tcPr>
          <w:p>
            <w:r>
              <w:rPr>
                <w:b/>
                <w:color w:val="1E303C"/>
                <w:sz w:val="17"/>
              </w:rPr>
              <w:t>Contributing diagnostic guides</w:t>
            </w:r>
          </w:p>
        </w:tc>
        <w:tc>
          <w:tcPr>
            <w:tcW w:type="dxa" w:w="3360"/>
            <w:tcMar>
              <w:top w:w="85" w:type="dxa"/>
              <w:start w:w="100" w:type="dxa"/>
              <w:bottom w:w="85" w:type="dxa"/>
              <w:end w:w="100" w:type="dxa"/>
            </w:tcMar>
            <w:vAlign w:val="center"/>
            <w:shd w:fill="F5F8FA"/>
          </w:tcPr>
          <w:p>
            <w:r>
              <w:rPr>
                <w:b w:val="0"/>
                <w:color w:val="1E303C"/>
                <w:sz w:val="17"/>
              </w:rPr>
              <w:t>Build Contribute</w:t>
            </w:r>
          </w:p>
        </w:tc>
      </w:tr>
      <w:tr>
        <w:tc>
          <w:tcPr>
            <w:tcW w:type="dxa" w:w="3360"/>
            <w:tcMar>
              <w:top w:w="85" w:type="dxa"/>
              <w:start w:w="100" w:type="dxa"/>
              <w:bottom w:w="85" w:type="dxa"/>
              <w:end w:w="100" w:type="dxa"/>
            </w:tcMar>
            <w:vAlign w:val="center"/>
          </w:tcPr>
          <w:p>
            <w:r>
              <w:rPr>
                <w:b/>
                <w:color w:val="1E303C"/>
                <w:sz w:val="16"/>
              </w:rPr>
              <w:t>18</w:t>
            </w:r>
          </w:p>
        </w:tc>
        <w:tc>
          <w:tcPr>
            <w:tcW w:type="dxa" w:w="3360"/>
            <w:tcMar>
              <w:top w:w="85" w:type="dxa"/>
              <w:start w:w="100" w:type="dxa"/>
              <w:bottom w:w="85" w:type="dxa"/>
              <w:end w:w="100" w:type="dxa"/>
            </w:tcMar>
            <w:vAlign w:val="center"/>
          </w:tcPr>
          <w:p>
            <w:r>
              <w:rPr>
                <w:b/>
                <w:color w:val="1E303C"/>
                <w:sz w:val="17"/>
              </w:rPr>
              <w:t>JSON guide authoring reference</w:t>
            </w:r>
          </w:p>
        </w:tc>
        <w:tc>
          <w:tcPr>
            <w:tcW w:type="dxa" w:w="3360"/>
            <w:tcMar>
              <w:top w:w="85" w:type="dxa"/>
              <w:start w:w="100" w:type="dxa"/>
              <w:bottom w:w="85" w:type="dxa"/>
              <w:end w:w="100" w:type="dxa"/>
            </w:tcMar>
            <w:vAlign w:val="center"/>
          </w:tcPr>
          <w:p>
            <w:r>
              <w:rPr>
                <w:b w:val="0"/>
                <w:color w:val="1E303C"/>
                <w:sz w:val="17"/>
              </w:rPr>
              <w:t>Build Contribute</w:t>
            </w:r>
          </w:p>
        </w:tc>
      </w:tr>
      <w:tr>
        <w:tc>
          <w:tcPr>
            <w:tcW w:type="dxa" w:w="3360"/>
            <w:tcMar>
              <w:top w:w="85" w:type="dxa"/>
              <w:start w:w="100" w:type="dxa"/>
              <w:bottom w:w="85" w:type="dxa"/>
              <w:end w:w="100" w:type="dxa"/>
            </w:tcMar>
            <w:vAlign w:val="center"/>
            <w:shd w:fill="F5F8FA"/>
          </w:tcPr>
          <w:p>
            <w:r>
              <w:rPr>
                <w:b/>
                <w:color w:val="1E303C"/>
                <w:sz w:val="16"/>
              </w:rPr>
              <w:t>19</w:t>
            </w:r>
          </w:p>
        </w:tc>
        <w:tc>
          <w:tcPr>
            <w:tcW w:type="dxa" w:w="3360"/>
            <w:tcMar>
              <w:top w:w="85" w:type="dxa"/>
              <w:start w:w="100" w:type="dxa"/>
              <w:bottom w:w="85" w:type="dxa"/>
              <w:end w:w="100" w:type="dxa"/>
            </w:tcMar>
            <w:vAlign w:val="center"/>
            <w:shd w:fill="F5F8FA"/>
          </w:tcPr>
          <w:p>
            <w:r>
              <w:rPr>
                <w:b/>
                <w:color w:val="1E303C"/>
                <w:sz w:val="17"/>
              </w:rPr>
              <w:t>Validation, testing, and review quality</w:t>
            </w:r>
          </w:p>
        </w:tc>
        <w:tc>
          <w:tcPr>
            <w:tcW w:type="dxa" w:w="3360"/>
            <w:tcMar>
              <w:top w:w="85" w:type="dxa"/>
              <w:start w:w="100" w:type="dxa"/>
              <w:bottom w:w="85" w:type="dxa"/>
              <w:end w:w="100" w:type="dxa"/>
            </w:tcMar>
            <w:vAlign w:val="center"/>
            <w:shd w:fill="F5F8FA"/>
          </w:tcPr>
          <w:p>
            <w:r>
              <w:rPr>
                <w:b w:val="0"/>
                <w:color w:val="1E303C"/>
                <w:sz w:val="17"/>
              </w:rPr>
              <w:t>Build Contribute</w:t>
            </w:r>
          </w:p>
        </w:tc>
      </w:tr>
      <w:tr>
        <w:tc>
          <w:tcPr>
            <w:tcW w:type="dxa" w:w="3360"/>
            <w:tcMar>
              <w:top w:w="85" w:type="dxa"/>
              <w:start w:w="100" w:type="dxa"/>
              <w:bottom w:w="85" w:type="dxa"/>
              <w:end w:w="100" w:type="dxa"/>
            </w:tcMar>
            <w:vAlign w:val="center"/>
          </w:tcPr>
          <w:p>
            <w:r>
              <w:rPr>
                <w:b/>
                <w:color w:val="1E303C"/>
                <w:sz w:val="16"/>
              </w:rPr>
              <w:t>20</w:t>
            </w:r>
          </w:p>
        </w:tc>
        <w:tc>
          <w:tcPr>
            <w:tcW w:type="dxa" w:w="3360"/>
            <w:tcMar>
              <w:top w:w="85" w:type="dxa"/>
              <w:start w:w="100" w:type="dxa"/>
              <w:bottom w:w="85" w:type="dxa"/>
              <w:end w:w="100" w:type="dxa"/>
            </w:tcMar>
            <w:vAlign w:val="center"/>
          </w:tcPr>
          <w:p>
            <w:r>
              <w:rPr>
                <w:b/>
                <w:color w:val="1E303C"/>
                <w:sz w:val="17"/>
              </w:rPr>
              <w:t>Adoption and governance</w:t>
            </w:r>
          </w:p>
        </w:tc>
        <w:tc>
          <w:tcPr>
            <w:tcW w:type="dxa" w:w="3360"/>
            <w:tcMar>
              <w:top w:w="85" w:type="dxa"/>
              <w:start w:w="100" w:type="dxa"/>
              <w:bottom w:w="85" w:type="dxa"/>
              <w:end w:w="100" w:type="dxa"/>
            </w:tcMar>
            <w:vAlign w:val="center"/>
          </w:tcPr>
          <w:p>
            <w:r>
              <w:rPr>
                <w:b w:val="0"/>
                <w:color w:val="1E303C"/>
                <w:sz w:val="17"/>
              </w:rPr>
              <w:t>Build Contribute</w:t>
            </w:r>
          </w:p>
        </w:tc>
      </w:tr>
      <w:tr>
        <w:tc>
          <w:tcPr>
            <w:tcW w:type="dxa" w:w="3360"/>
            <w:tcMar>
              <w:top w:w="85" w:type="dxa"/>
              <w:start w:w="100" w:type="dxa"/>
              <w:bottom w:w="85" w:type="dxa"/>
              <w:end w:w="100" w:type="dxa"/>
            </w:tcMar>
            <w:vAlign w:val="center"/>
            <w:shd w:fill="F5F8FA"/>
          </w:tcPr>
          <w:p>
            <w:r>
              <w:rPr>
                <w:b/>
                <w:color w:val="1E303C"/>
                <w:sz w:val="16"/>
              </w:rPr>
              <w:t>21</w:t>
            </w:r>
          </w:p>
        </w:tc>
        <w:tc>
          <w:tcPr>
            <w:tcW w:type="dxa" w:w="3360"/>
            <w:tcMar>
              <w:top w:w="85" w:type="dxa"/>
              <w:start w:w="100" w:type="dxa"/>
              <w:bottom w:w="85" w:type="dxa"/>
              <w:end w:w="100" w:type="dxa"/>
            </w:tcMar>
            <w:vAlign w:val="center"/>
            <w:shd w:fill="F5F8FA"/>
          </w:tcPr>
          <w:p>
            <w:r>
              <w:rPr>
                <w:b/>
                <w:color w:val="1E303C"/>
                <w:sz w:val="17"/>
              </w:rPr>
              <w:t>Workshop and tabletop facilitation</w:t>
            </w:r>
          </w:p>
        </w:tc>
        <w:tc>
          <w:tcPr>
            <w:tcW w:type="dxa" w:w="3360"/>
            <w:tcMar>
              <w:top w:w="85" w:type="dxa"/>
              <w:start w:w="100" w:type="dxa"/>
              <w:bottom w:w="85" w:type="dxa"/>
              <w:end w:w="100" w:type="dxa"/>
            </w:tcMar>
            <w:vAlign w:val="center"/>
            <w:shd w:fill="F5F8FA"/>
          </w:tcPr>
          <w:p>
            <w:r>
              <w:rPr>
                <w:b w:val="0"/>
                <w:color w:val="1E303C"/>
                <w:sz w:val="17"/>
              </w:rPr>
              <w:t>Build Contribute</w:t>
            </w:r>
          </w:p>
        </w:tc>
      </w:tr>
      <w:tr>
        <w:tc>
          <w:tcPr>
            <w:tcW w:type="dxa" w:w="3360"/>
            <w:tcMar>
              <w:top w:w="85" w:type="dxa"/>
              <w:start w:w="100" w:type="dxa"/>
              <w:bottom w:w="85" w:type="dxa"/>
              <w:end w:w="100" w:type="dxa"/>
            </w:tcMar>
            <w:vAlign w:val="center"/>
          </w:tcPr>
          <w:p>
            <w:r>
              <w:rPr>
                <w:b/>
                <w:color w:val="1E303C"/>
                <w:sz w:val="16"/>
              </w:rPr>
              <w:t>22</w:t>
            </w:r>
          </w:p>
        </w:tc>
        <w:tc>
          <w:tcPr>
            <w:tcW w:type="dxa" w:w="3360"/>
            <w:tcMar>
              <w:top w:w="85" w:type="dxa"/>
              <w:start w:w="100" w:type="dxa"/>
              <w:bottom w:w="85" w:type="dxa"/>
              <w:end w:w="100" w:type="dxa"/>
            </w:tcMar>
            <w:vAlign w:val="center"/>
          </w:tcPr>
          <w:p>
            <w:r>
              <w:rPr>
                <w:b/>
                <w:color w:val="1E303C"/>
                <w:sz w:val="17"/>
              </w:rPr>
              <w:t>FAQ and glossary</w:t>
            </w:r>
          </w:p>
        </w:tc>
        <w:tc>
          <w:tcPr>
            <w:tcW w:type="dxa" w:w="3360"/>
            <w:tcMar>
              <w:top w:w="85" w:type="dxa"/>
              <w:start w:w="100" w:type="dxa"/>
              <w:bottom w:w="85" w:type="dxa"/>
              <w:end w:w="100" w:type="dxa"/>
            </w:tcMar>
            <w:vAlign w:val="center"/>
          </w:tcPr>
          <w:p>
            <w:r>
              <w:rPr>
                <w:b w:val="0"/>
                <w:color w:val="1E303C"/>
                <w:sz w:val="17"/>
              </w:rPr>
              <w:t>Start Here</w:t>
            </w:r>
          </w:p>
        </w:tc>
      </w:tr>
      <w:tr>
        <w:tc>
          <w:tcPr>
            <w:tcW w:type="dxa" w:w="3360"/>
            <w:tcMar>
              <w:top w:w="85" w:type="dxa"/>
              <w:start w:w="100" w:type="dxa"/>
              <w:bottom w:w="85" w:type="dxa"/>
              <w:end w:w="100" w:type="dxa"/>
            </w:tcMar>
            <w:vAlign w:val="center"/>
            <w:shd w:fill="F5F8FA"/>
          </w:tcPr>
          <w:p>
            <w:r>
              <w:rPr>
                <w:b/>
                <w:color w:val="1E303C"/>
                <w:sz w:val="16"/>
              </w:rPr>
              <w:t>23</w:t>
            </w:r>
          </w:p>
        </w:tc>
        <w:tc>
          <w:tcPr>
            <w:tcW w:type="dxa" w:w="3360"/>
            <w:tcMar>
              <w:top w:w="85" w:type="dxa"/>
              <w:start w:w="100" w:type="dxa"/>
              <w:bottom w:w="85" w:type="dxa"/>
              <w:end w:w="100" w:type="dxa"/>
            </w:tcMar>
            <w:vAlign w:val="center"/>
            <w:shd w:fill="F5F8FA"/>
          </w:tcPr>
          <w:p>
            <w:r>
              <w:rPr>
                <w:b/>
                <w:color w:val="1E303C"/>
                <w:sz w:val="17"/>
              </w:rPr>
              <w:t>Offline publication library</w:t>
            </w:r>
          </w:p>
        </w:tc>
        <w:tc>
          <w:tcPr>
            <w:tcW w:type="dxa" w:w="3360"/>
            <w:tcMar>
              <w:top w:w="85" w:type="dxa"/>
              <w:start w:w="100" w:type="dxa"/>
              <w:bottom w:w="85" w:type="dxa"/>
              <w:end w:w="100" w:type="dxa"/>
            </w:tcMar>
            <w:vAlign w:val="center"/>
            <w:shd w:fill="F5F8FA"/>
          </w:tcPr>
          <w:p>
            <w:r>
              <w:rPr>
                <w:b w:val="0"/>
                <w:color w:val="1E303C"/>
                <w:sz w:val="17"/>
              </w:rPr>
              <w:t>Publications</w:t>
            </w:r>
          </w:p>
        </w:tc>
      </w:tr>
    </w:tbl>
    <w:p>
      <w:r>
        <w:br w:type="page"/>
      </w:r>
    </w:p>
    <w:p>
      <w:pPr>
        <w:pStyle w:val="ChapterEyebrow"/>
      </w:pPr>
      <w:r>
        <w:t>CHAPTER 01  /  START HERE</w:t>
      </w:r>
    </w:p>
    <w:p>
      <w:pPr>
        <w:pStyle w:val="Heading1"/>
      </w:pPr>
      <w:r>
        <w:t>OGO documentation overview</w:t>
      </w:r>
    </w:p>
    <w:p>
      <w:pPr>
        <w:spacing w:after="280"/>
      </w:pPr>
      <w:r>
        <w:rPr>
          <w:color w:val="505F6C"/>
          <w:sz w:val="24"/>
        </w:rPr>
        <w:t>Use the hosted knowledge base as the living source and the offline publications as versioned field editions.</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everyone</w:t>
            </w:r>
          </w:p>
        </w:tc>
        <w:tc>
          <w:tcPr>
            <w:tcW w:type="dxa" w:w="3360"/>
            <w:shd w:fill="F0F7F8"/>
            <w:tcMar>
              <w:top w:w="80" w:type="dxa"/>
              <w:start w:w="110" w:type="dxa"/>
              <w:bottom w:w="80" w:type="dxa"/>
              <w:end w:w="110" w:type="dxa"/>
            </w:tcMar>
          </w:tcPr>
          <w:p>
            <w:r>
              <w:rPr>
                <w:b/>
                <w:color w:val="00879B"/>
                <w:sz w:val="14"/>
              </w:rPr>
              <w:t>KEYWORDS</w:t>
              <w:br/>
            </w:r>
            <w:r>
              <w:rPr>
                <w:b/>
                <w:color w:val="243744"/>
                <w:sz w:val="16"/>
              </w:rPr>
              <w:t>overview</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The publication model</w:t>
      </w:r>
    </w:p>
    <w:p>
      <w:r>
        <w:t>OGO documentation is deliberately maintained in three connected forms. The hosted site is the fastest place to search, filter, and share a precise chapter. The repository Markdown is the reviewable source used by maintainers and contributors. The PDF and DOCX editions are versioned snapshots for workshops, offline use, procurement records, and structured review.</w:t>
      </w:r>
    </w:p>
    <w:p>
      <w:pPr>
        <w:pStyle w:val="Callout"/>
        <w:shd w:fill="E9F7F8"/>
      </w:pPr>
      <w:r>
        <w:t>The website is the living source. The repository is the review surface. The publication files are controlled snapshots.</w:t>
      </w:r>
    </w:p>
    <w:p>
      <w:r>
        <w:t>This separation prevents a polished PDF from becoming a hidden knowledge silo. A user can search for a role, safety rule, evidence standard, or dossier requirement without opening a long file and scanning page by page.</w:t>
      </w:r>
    </w:p>
    <w:p>
      <w:pPr>
        <w:pStyle w:val="Heading2"/>
      </w:pPr>
      <w:r>
        <w:t>How to use this library</w:t>
      </w:r>
    </w:p>
    <w:p>
      <w:pPr>
        <w:pStyle w:val="ListNumber"/>
      </w:pPr>
      <w:r>
        <w:t>Begin with Quick start if you are opening OGO for the first time.</w:t>
      </w:r>
    </w:p>
    <w:p>
      <w:pPr>
        <w:pStyle w:val="ListNumber"/>
      </w:pPr>
      <w:r>
        <w:t>Choose a role path when you need responsibilities, outputs, and handoff expectations.</w:t>
      </w:r>
    </w:p>
    <w:p>
      <w:pPr>
        <w:pStyle w:val="ListNumber"/>
      </w:pPr>
      <w:r>
        <w:t>Use Operate safely before running commands, handling customer evidence, or using optional AI.</w:t>
      </w:r>
    </w:p>
    <w:p>
      <w:pPr>
        <w:pStyle w:val="ListNumber"/>
      </w:pPr>
      <w:r>
        <w:t>Use Build and contribute when writing or reviewing diagnostic guides.</w:t>
      </w:r>
    </w:p>
    <w:p>
      <w:pPr>
        <w:pStyle w:val="ListNumber"/>
      </w:pPr>
      <w:r>
        <w:t>Download the PDF or DOCX when a fixed edition is required.</w:t>
      </w:r>
    </w:p>
    <w:p>
      <w:pPr>
        <w:pStyle w:val="Heading2"/>
      </w:pPr>
      <w:r>
        <w:t>What belongs here</w:t>
      </w:r>
    </w:p>
    <w:p>
      <w:r>
        <w:t>The library covers the public OGO product: local-first guided diagnostic simulation, evidence gates, approved guide logic, owner routing, command purpose and safety, dossiers, validation, and open-source contribution. It does not document private Oprynta platform engines, internal enterprise methods, unreleased workflows, or proprietary operating intelligence.</w:t>
      </w:r>
    </w:p>
    <w:p>
      <w:pPr>
        <w:pStyle w:val="Heading2"/>
      </w:pPr>
      <w:r>
        <w:t>Search behavior</w:t>
      </w:r>
    </w:p>
    <w:p>
      <w:r>
        <w:t>Search indexes titles, descriptions, headings, role tags, keywords, and article text. Press / from any documentation page to focus the search field. Filter by category or role when a broad query produces too many results. Each chapter has a permanent URL so a team can link directly to the exact operating guidance needed.</w:t>
      </w:r>
    </w:p>
    <w:p>
      <w:r>
        <w:br w:type="page"/>
      </w:r>
    </w:p>
    <w:p>
      <w:pPr>
        <w:pStyle w:val="ChapterEyebrow"/>
      </w:pPr>
      <w:r>
        <w:t>CHAPTER 02  /  START HERE</w:t>
      </w:r>
    </w:p>
    <w:p>
      <w:pPr>
        <w:pStyle w:val="Heading1"/>
      </w:pPr>
      <w:r>
        <w:t>What OGO is and is not</w:t>
      </w:r>
    </w:p>
    <w:p>
      <w:pPr>
        <w:spacing w:after="280"/>
      </w:pPr>
      <w:r>
        <w:rPr>
          <w:color w:val="505F6C"/>
          <w:sz w:val="24"/>
        </w:rPr>
        <w:t>Understand the product boundary, the evidence-led operating model, and the responsibilities that remain human.</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everyone</w:t>
            </w:r>
          </w:p>
        </w:tc>
        <w:tc>
          <w:tcPr>
            <w:tcW w:type="dxa" w:w="3360"/>
            <w:shd w:fill="F0F7F8"/>
            <w:tcMar>
              <w:top w:w="80" w:type="dxa"/>
              <w:start w:w="110" w:type="dxa"/>
              <w:bottom w:w="80" w:type="dxa"/>
              <w:end w:w="110" w:type="dxa"/>
            </w:tcMar>
          </w:tcPr>
          <w:p>
            <w:r>
              <w:rPr>
                <w:b/>
                <w:color w:val="00879B"/>
                <w:sz w:val="14"/>
              </w:rPr>
              <w:t>KEYWORDS</w:t>
              <w:br/>
            </w:r>
            <w:r>
              <w:rPr>
                <w:b/>
                <w:color w:val="243744"/>
                <w:sz w:val="16"/>
              </w:rPr>
              <w:t>product boundary</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What OGO does</w:t>
      </w:r>
    </w:p>
    <w:p>
      <w:r>
        <w:t>OGO - Oprynta Guide Ops - is a local-first guided diagnostic simulator and operating playbook. It helps a team turn reported technical pain into a visible sequence of evidence questions, candidate fault boundaries, owner routes, safety gates, and measurable validation. The system does not replace monitoring, ticketing, engineering judgment, or formal change control. It creates a shared path through them.</w:t>
      </w:r>
    </w:p>
    <w:p>
      <w:r>
        <w:t>The useful unit is not a generic answer. It is an evidence state: what is known, what remains unresolved, which question is next, who owns the answer, and what action is safe only after the boundary is supported.</w:t>
      </w:r>
    </w:p>
    <w:p>
      <w:pPr>
        <w:pStyle w:val="Heading2"/>
      </w:pPr>
      <w:r>
        <w:t>What OGO does not do</w:t>
      </w:r>
    </w:p>
    <w:p>
      <w:pPr>
        <w:pStyle w:val="ListBullet"/>
      </w:pPr>
      <w:r>
        <w:t>It does not claim autonomous root cause.</w:t>
      </w:r>
    </w:p>
    <w:p>
      <w:pPr>
        <w:pStyle w:val="ListBullet"/>
      </w:pPr>
      <w:r>
        <w:t>It does not execute uncontrolled remediation.</w:t>
      </w:r>
    </w:p>
    <w:p>
      <w:pPr>
        <w:pStyle w:val="ListBullet"/>
      </w:pPr>
      <w:r>
        <w:t>It does not hide command purpose or access requirements.</w:t>
      </w:r>
    </w:p>
    <w:p>
      <w:pPr>
        <w:pStyle w:val="ListBullet"/>
      </w:pPr>
      <w:r>
        <w:t>It does not turn optional AI output into proof.</w:t>
      </w:r>
    </w:p>
    <w:p>
      <w:pPr>
        <w:pStyle w:val="ListBullet"/>
      </w:pPr>
      <w:r>
        <w:t>It does not make every team perform the same work.</w:t>
      </w:r>
    </w:p>
    <w:p>
      <w:pPr>
        <w:pStyle w:val="Heading2"/>
      </w:pPr>
      <w:r>
        <w:t>The operating promise</w:t>
      </w:r>
    </w:p>
    <w:p>
      <w:r>
        <w:t>A good OGO run leaves the team with a decision-ready record. The record should distinguish symptoms from supported boundaries, observed evidence from assumptions, investigation from authorized change, and temporary recovery from verified return to service.</w:t>
      </w:r>
    </w:p>
    <w:p>
      <w:pPr>
        <w:pStyle w:val="Heading2"/>
      </w:pPr>
      <w:r>
        <w:t>Human responsibility</w:t>
      </w:r>
    </w:p>
    <w:p>
      <w:r>
        <w:t>Humans remain responsible for access, authorization, interpretation, change approval, escalation, and closure. OGO can organize the path and preserve the evidence, but the operator and accountable owner decide whether a command may run and whether validation is sufficient.</w:t>
      </w:r>
    </w:p>
    <w:p>
      <w:r>
        <w:br w:type="page"/>
      </w:r>
    </w:p>
    <w:p>
      <w:pPr>
        <w:pStyle w:val="ChapterEyebrow"/>
      </w:pPr>
      <w:r>
        <w:t>CHAPTER 03  /  START HERE</w:t>
      </w:r>
    </w:p>
    <w:p>
      <w:pPr>
        <w:pStyle w:val="Heading1"/>
      </w:pPr>
      <w:r>
        <w:t>Quick start</w:t>
      </w:r>
    </w:p>
    <w:p>
      <w:pPr>
        <w:spacing w:after="280"/>
      </w:pPr>
      <w:r>
        <w:rPr>
          <w:color w:val="505F6C"/>
          <w:sz w:val="24"/>
        </w:rPr>
        <w:t>Run a first local incident path from reported pain through evidence, owner routing, and validation.</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everyone</w:t>
            </w:r>
          </w:p>
        </w:tc>
        <w:tc>
          <w:tcPr>
            <w:tcW w:type="dxa" w:w="3360"/>
            <w:shd w:fill="F0F7F8"/>
            <w:tcMar>
              <w:top w:w="80" w:type="dxa"/>
              <w:start w:w="110" w:type="dxa"/>
              <w:bottom w:w="80" w:type="dxa"/>
              <w:end w:w="110" w:type="dxa"/>
            </w:tcMar>
          </w:tcPr>
          <w:p>
            <w:r>
              <w:rPr>
                <w:b/>
                <w:color w:val="00879B"/>
                <w:sz w:val="14"/>
              </w:rPr>
              <w:t>KEYWORDS</w:t>
              <w:br/>
            </w:r>
            <w:r>
              <w:rPr>
                <w:b/>
                <w:color w:val="243744"/>
                <w:sz w:val="16"/>
              </w:rPr>
              <w:t>quick start</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Before the first run</w:t>
      </w:r>
    </w:p>
    <w:p>
      <w:r>
        <w:t>Confirm that the repository dependencies are installed, the playbook validator passes, and the Studio opens locally. Optional AI is not required for the deterministic simulator. Start with a known scenario so the team can learn the operating rhythm before using an unfamiliar incident.</w:t>
      </w:r>
    </w:p>
    <w:p>
      <w:pPr>
        <w:pStyle w:val="CodeBlock"/>
      </w:pPr>
      <w:r>
        <w:t>npm install</w:t>
        <w:br/>
        <w:t>npm run validate:playbooks</w:t>
        <w:br/>
        <w:t>npm run typecheck</w:t>
        <w:br/>
        <w:t>npm run test</w:t>
        <w:br/>
        <w:t>npm run dev</w:t>
      </w:r>
    </w:p>
    <w:p>
      <w:pPr>
        <w:pStyle w:val="Heading2"/>
      </w:pPr>
      <w:r>
        <w:t>Start with a precise pain statement</w:t>
      </w:r>
    </w:p>
    <w:p>
      <w:r>
        <w:t>Describe what broke, who or what is affected, when it began, whether a change correlates, what proof already exists, and what must not happen. A strong intake is observable and bounded. "The platform is slow" is weak. "Interactive jobs on one queue exceed the normal launch time after the scheduler policy update; batch jobs on the peer queue remain normal" is usable.</w:t>
      </w:r>
    </w:p>
    <w:p>
      <w:pPr>
        <w:pStyle w:val="Heading2"/>
      </w:pPr>
      <w:r>
        <w:t>Follow the evidence gates</w:t>
      </w:r>
    </w:p>
    <w:p>
      <w:r>
        <w:t>Answer only what can be supported. Use unknown when the evidence is not available. Capture timestamps, healthy-peer comparisons, command results, and physical observations. Do not select the answer that merely sounds most likely.</w:t>
      </w:r>
    </w:p>
    <w:p>
      <w:pPr>
        <w:pStyle w:val="Heading2"/>
      </w:pPr>
      <w:r>
        <w:t>Review the tunnel</w:t>
      </w:r>
    </w:p>
    <w:p>
      <w:r>
        <w:t>The compact Live Fault Tunnel shows current progress. Expand it to see the full topology: reported pain, committed evidence, current gate, candidate boundaries, owner route, safety gate, guided move, and exit proof. Close the map or press Escape to return without losing state.</w:t>
      </w:r>
    </w:p>
    <w:p>
      <w:pPr>
        <w:pStyle w:val="Heading2"/>
      </w:pPr>
      <w:r>
        <w:t>Produce the record</w:t>
      </w:r>
    </w:p>
    <w:p>
      <w:r>
        <w:t>At the end of the run, review the resolution, command record, owner handoff, escalation packet, and exit criteria. Export a dossier when another team, vendor, or reviewer needs a stable evidence package.</w:t>
      </w:r>
    </w:p>
    <w:p>
      <w:r>
        <w:br w:type="page"/>
      </w:r>
    </w:p>
    <w:p>
      <w:pPr>
        <w:pStyle w:val="ChapterEyebrow"/>
      </w:pPr>
      <w:r>
        <w:t>CHAPTER 04  /  START HERE</w:t>
      </w:r>
    </w:p>
    <w:p>
      <w:pPr>
        <w:pStyle w:val="Heading1"/>
      </w:pPr>
      <w:r>
        <w:t>The shared operating path</w:t>
      </w:r>
    </w:p>
    <w:p>
      <w:pPr>
        <w:spacing w:after="280"/>
      </w:pPr>
      <w:r>
        <w:rPr>
          <w:color w:val="505F6C"/>
          <w:sz w:val="24"/>
        </w:rPr>
        <w:t>Use one evidence path across technical and organizational boundaries without collapsing distinct responsibilities.</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everyone</w:t>
            </w:r>
          </w:p>
        </w:tc>
        <w:tc>
          <w:tcPr>
            <w:tcW w:type="dxa" w:w="3360"/>
            <w:shd w:fill="F0F7F8"/>
            <w:tcMar>
              <w:top w:w="80" w:type="dxa"/>
              <w:start w:w="110" w:type="dxa"/>
              <w:bottom w:w="80" w:type="dxa"/>
              <w:end w:w="110" w:type="dxa"/>
            </w:tcMar>
          </w:tcPr>
          <w:p>
            <w:r>
              <w:rPr>
                <w:b/>
                <w:color w:val="00879B"/>
                <w:sz w:val="14"/>
              </w:rPr>
              <w:t>KEYWORDS</w:t>
              <w:br/>
            </w:r>
            <w:r>
              <w:rPr>
                <w:b/>
                <w:color w:val="243744"/>
                <w:sz w:val="16"/>
              </w:rPr>
              <w:t>operating path</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The seven operating moves</w:t>
      </w:r>
    </w:p>
    <w:p>
      <w:pPr>
        <w:pStyle w:val="ListNumber"/>
      </w:pPr>
      <w:r>
        <w:t>Capture reported pain in observable terms.</w:t>
      </w:r>
    </w:p>
    <w:p>
      <w:pPr>
        <w:pStyle w:val="ListNumber"/>
      </w:pPr>
      <w:r>
        <w:t>Define affected scope and a healthy comparison.</w:t>
      </w:r>
    </w:p>
    <w:p>
      <w:pPr>
        <w:pStyle w:val="ListNumber"/>
      </w:pPr>
      <w:r>
        <w:t>Commit evidence at each gate without guessing.</w:t>
      </w:r>
    </w:p>
    <w:p>
      <w:pPr>
        <w:pStyle w:val="ListNumber"/>
      </w:pPr>
      <w:r>
        <w:t>Narrow candidate fault boundaries.</w:t>
      </w:r>
    </w:p>
    <w:p>
      <w:pPr>
        <w:pStyle w:val="ListNumber"/>
      </w:pPr>
      <w:r>
        <w:t>Route the next question or action to an accountable owner.</w:t>
      </w:r>
    </w:p>
    <w:p>
      <w:pPr>
        <w:pStyle w:val="ListNumber"/>
      </w:pPr>
      <w:r>
        <w:t>Separate investigation from authorized controlled change.</w:t>
      </w:r>
    </w:p>
    <w:p>
      <w:pPr>
        <w:pStyle w:val="ListNumber"/>
      </w:pPr>
      <w:r>
        <w:t>Prove the exit condition and preserve the record.</w:t>
      </w:r>
    </w:p>
    <w:p>
      <w:pPr>
        <w:pStyle w:val="Heading2"/>
      </w:pPr>
      <w:r>
        <w:t>Why the path is shared</w:t>
      </w:r>
    </w:p>
    <w:p>
      <w:r>
        <w:t>Incidents cross teams because technical layers and ownership layers do not align perfectly. A customer-facing lead may own impact and communication, a field engineer may own local proof, an SRE may own production safety, and a specialist may interpret one layer. The path is shared so those contributions accumulate rather than restart at every handoff.</w:t>
      </w:r>
    </w:p>
    <w:p>
      <w:pPr>
        <w:pStyle w:val="Heading2"/>
      </w:pPr>
      <w:r>
        <w:t>Evidence changes the route</w:t>
      </w:r>
    </w:p>
    <w:p>
      <w:r>
        <w:t>A gate is useful only when its answer can change the next step. If every answer produces the same path, the question is decorative. Guide authors should make branch consequences explicit and operators should be able to explain why the current route follows from the evidence already committed.</w:t>
      </w:r>
    </w:p>
    <w:p>
      <w:pPr>
        <w:pStyle w:val="Heading2"/>
      </w:pPr>
      <w:r>
        <w:t>Exit is not silence</w:t>
      </w:r>
    </w:p>
    <w:p>
      <w:r>
        <w:t>An alert disappearing or a user stopping reports is not enough. Exit proof should match the original impact, show the affected and healthy scopes, confirm expected behavior across an appropriate window, and record any residual risk or follow-up owner.</w:t>
      </w:r>
    </w:p>
    <w:p>
      <w:r>
        <w:br w:type="page"/>
      </w:r>
    </w:p>
    <w:p>
      <w:pPr>
        <w:pStyle w:val="ChapterEyebrow"/>
      </w:pPr>
      <w:r>
        <w:t>CHAPTER 05  /  START HERE</w:t>
      </w:r>
    </w:p>
    <w:p>
      <w:pPr>
        <w:pStyle w:val="Heading1"/>
      </w:pPr>
      <w:r>
        <w:t>Incident operating rhythm</w:t>
      </w:r>
    </w:p>
    <w:p>
      <w:pPr>
        <w:spacing w:after="280"/>
      </w:pPr>
      <w:r>
        <w:rPr>
          <w:color w:val="505F6C"/>
          <w:sz w:val="24"/>
        </w:rPr>
        <w:t>Coordinate evidence, owners, checkpoints, and communication without turning the tool into another status dashboard.</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incident-program-leader / technical-account-manager / platform-sre-operations</w:t>
            </w:r>
          </w:p>
        </w:tc>
        <w:tc>
          <w:tcPr>
            <w:tcW w:type="dxa" w:w="3360"/>
            <w:shd w:fill="F0F7F8"/>
            <w:tcMar>
              <w:top w:w="80" w:type="dxa"/>
              <w:start w:w="110" w:type="dxa"/>
              <w:bottom w:w="80" w:type="dxa"/>
              <w:end w:w="110" w:type="dxa"/>
            </w:tcMar>
          </w:tcPr>
          <w:p>
            <w:r>
              <w:rPr>
                <w:b/>
                <w:color w:val="00879B"/>
                <w:sz w:val="14"/>
              </w:rPr>
              <w:t>KEYWORDS</w:t>
              <w:br/>
            </w:r>
            <w:r>
              <w:rPr>
                <w:b/>
                <w:color w:val="243744"/>
                <w:sz w:val="16"/>
              </w:rPr>
              <w:t>incident rhythm</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Establish the clock</w:t>
      </w:r>
    </w:p>
    <w:p>
      <w:r>
        <w:t>At the start of an incident, record the impact window, the next evidence checkpoint, the next decision checkpoint, and any external communication commitment. A checkpoint should have an owner and a concrete expected output. "Update in thirty minutes" is weaker than "Storage owner returns affected-versus-healthy latency evidence by 14:30."</w:t>
      </w:r>
    </w:p>
    <w:p>
      <w:pPr>
        <w:pStyle w:val="Heading2"/>
      </w:pPr>
      <w:r>
        <w:t>Keep four records distinct</w:t>
      </w:r>
    </w:p>
    <w:tbl>
      <w:tblPr>
        <w:tblW w:type="auto" w:w="0"/>
        <w:jc w:val="left"/>
        <w:tblLayout w:type="autofit"/>
        <w:tblLook w:firstColumn="1" w:firstRow="1" w:lastColumn="0" w:lastRow="0" w:noHBand="0" w:noVBand="1" w:val="04A0"/>
      </w:tblPr>
      <w:tblGrid>
        <w:gridCol w:w="5040"/>
        <w:gridCol w:w="5040"/>
      </w:tblGrid>
      <w:tr>
        <w:tc>
          <w:tcPr>
            <w:tcW w:type="dxa" w:w="5040"/>
            <w:shd w:fill="092433"/>
            <w:tcMar>
              <w:top w:w="75" w:type="dxa"/>
              <w:start w:w="90" w:type="dxa"/>
              <w:bottom w:w="75" w:type="dxa"/>
              <w:end w:w="90" w:type="dxa"/>
            </w:tcMar>
          </w:tcPr>
          <w:p>
            <w:r>
              <w:rPr>
                <w:b/>
                <w:color w:val="F0FAFC"/>
                <w:sz w:val="15"/>
              </w:rPr>
              <w:t>Record</w:t>
            </w:r>
          </w:p>
        </w:tc>
        <w:tc>
          <w:tcPr>
            <w:tcW w:type="dxa" w:w="5040"/>
            <w:shd w:fill="092433"/>
            <w:tcMar>
              <w:top w:w="75" w:type="dxa"/>
              <w:start w:w="90" w:type="dxa"/>
              <w:bottom w:w="75" w:type="dxa"/>
              <w:end w:w="90" w:type="dxa"/>
            </w:tcMar>
          </w:tcPr>
          <w:p>
            <w:r>
              <w:rPr>
                <w:b/>
                <w:color w:val="F0FAFC"/>
                <w:sz w:val="15"/>
              </w:rPr>
              <w:t>Purpose</w:t>
            </w:r>
          </w:p>
        </w:tc>
      </w:tr>
      <w:tr>
        <w:tc>
          <w:tcPr>
            <w:tcW w:type="dxa" w:w="5040"/>
            <w:tcMar>
              <w:top w:w="70" w:type="dxa"/>
              <w:start w:w="90" w:type="dxa"/>
              <w:bottom w:w="70" w:type="dxa"/>
              <w:end w:w="90" w:type="dxa"/>
            </w:tcMar>
          </w:tcPr>
          <w:p>
            <w:r>
              <w:rPr>
                <w:color w:val="2D3D4A"/>
                <w:sz w:val="16"/>
              </w:rPr>
              <w:t>Evidence ledger</w:t>
            </w:r>
          </w:p>
        </w:tc>
        <w:tc>
          <w:tcPr>
            <w:tcW w:type="dxa" w:w="5040"/>
            <w:tcMar>
              <w:top w:w="70" w:type="dxa"/>
              <w:start w:w="90" w:type="dxa"/>
              <w:bottom w:w="70" w:type="dxa"/>
              <w:end w:w="90" w:type="dxa"/>
            </w:tcMar>
          </w:tcPr>
          <w:p>
            <w:r>
              <w:rPr>
                <w:color w:val="2D3D4A"/>
                <w:sz w:val="16"/>
              </w:rPr>
              <w:t>What was observed, where, when, and by whom</w:t>
            </w:r>
          </w:p>
        </w:tc>
      </w:tr>
      <w:tr>
        <w:tc>
          <w:tcPr>
            <w:tcW w:type="dxa" w:w="5040"/>
            <w:shd w:fill="F6F8FA"/>
            <w:tcMar>
              <w:top w:w="70" w:type="dxa"/>
              <w:start w:w="90" w:type="dxa"/>
              <w:bottom w:w="70" w:type="dxa"/>
              <w:end w:w="90" w:type="dxa"/>
            </w:tcMar>
          </w:tcPr>
          <w:p>
            <w:r>
              <w:rPr>
                <w:color w:val="2D3D4A"/>
                <w:sz w:val="16"/>
              </w:rPr>
              <w:t>Decision log</w:t>
            </w:r>
          </w:p>
        </w:tc>
        <w:tc>
          <w:tcPr>
            <w:tcW w:type="dxa" w:w="5040"/>
            <w:shd w:fill="F6F8FA"/>
            <w:tcMar>
              <w:top w:w="70" w:type="dxa"/>
              <w:start w:w="90" w:type="dxa"/>
              <w:bottom w:w="70" w:type="dxa"/>
              <w:end w:w="90" w:type="dxa"/>
            </w:tcMar>
          </w:tcPr>
          <w:p>
            <w:r>
              <w:rPr>
                <w:color w:val="2D3D4A"/>
                <w:sz w:val="16"/>
              </w:rPr>
              <w:t>What the team decided and the evidence used</w:t>
            </w:r>
          </w:p>
        </w:tc>
      </w:tr>
      <w:tr>
        <w:tc>
          <w:tcPr>
            <w:tcW w:type="dxa" w:w="5040"/>
            <w:tcMar>
              <w:top w:w="70" w:type="dxa"/>
              <w:start w:w="90" w:type="dxa"/>
              <w:bottom w:w="70" w:type="dxa"/>
              <w:end w:w="90" w:type="dxa"/>
            </w:tcMar>
          </w:tcPr>
          <w:p>
            <w:r>
              <w:rPr>
                <w:color w:val="2D3D4A"/>
                <w:sz w:val="16"/>
              </w:rPr>
              <w:t>Action record</w:t>
            </w:r>
          </w:p>
        </w:tc>
        <w:tc>
          <w:tcPr>
            <w:tcW w:type="dxa" w:w="5040"/>
            <w:tcMar>
              <w:top w:w="70" w:type="dxa"/>
              <w:start w:w="90" w:type="dxa"/>
              <w:bottom w:w="70" w:type="dxa"/>
              <w:end w:w="90" w:type="dxa"/>
            </w:tcMar>
          </w:tcPr>
          <w:p>
            <w:r>
              <w:rPr>
                <w:color w:val="2D3D4A"/>
                <w:sz w:val="16"/>
              </w:rPr>
              <w:t>What changed, who authorized it, and expected outcome</w:t>
            </w:r>
          </w:p>
        </w:tc>
      </w:tr>
      <w:tr>
        <w:tc>
          <w:tcPr>
            <w:tcW w:type="dxa" w:w="5040"/>
            <w:shd w:fill="F6F8FA"/>
            <w:tcMar>
              <w:top w:w="70" w:type="dxa"/>
              <w:start w:w="90" w:type="dxa"/>
              <w:bottom w:w="70" w:type="dxa"/>
              <w:end w:w="90" w:type="dxa"/>
            </w:tcMar>
          </w:tcPr>
          <w:p>
            <w:r>
              <w:rPr>
                <w:color w:val="2D3D4A"/>
                <w:sz w:val="16"/>
              </w:rPr>
              <w:t>Communication record</w:t>
            </w:r>
          </w:p>
        </w:tc>
        <w:tc>
          <w:tcPr>
            <w:tcW w:type="dxa" w:w="5040"/>
            <w:shd w:fill="F6F8FA"/>
            <w:tcMar>
              <w:top w:w="70" w:type="dxa"/>
              <w:start w:w="90" w:type="dxa"/>
              <w:bottom w:w="70" w:type="dxa"/>
              <w:end w:w="90" w:type="dxa"/>
            </w:tcMar>
          </w:tcPr>
          <w:p>
            <w:r>
              <w:rPr>
                <w:color w:val="2D3D4A"/>
                <w:sz w:val="16"/>
              </w:rPr>
              <w:t>What was shared, with whom, and the next commitment</w:t>
            </w:r>
          </w:p>
        </w:tc>
      </w:tr>
    </w:tbl>
    <w:p>
      <w:pPr>
        <w:pStyle w:val="Heading2"/>
      </w:pPr>
      <w:r>
        <w:t>Run the narrowing loop</w:t>
      </w:r>
    </w:p>
    <w:p>
      <w:r>
        <w:t>At each checkpoint, ask what changed in the evidence state. Remove boundaries that are no longer supported. Promote boundaries only when evidence supports them. Assign the next unanswered question to a named owner. Avoid reopening settled questions unless new evidence contradicts the previous conclusion.</w:t>
      </w:r>
    </w:p>
    <w:p>
      <w:pPr>
        <w:pStyle w:val="Heading2"/>
      </w:pPr>
      <w:r>
        <w:t>Close responsibly</w:t>
      </w:r>
    </w:p>
    <w:p>
      <w:r>
        <w:t>Closure requires impact recovery, technical validation, owner agreement, and residual-risk recording. If the immediate service is restored but the underlying boundary remains uncertain, close the active incident only with a separate problem investigation, owner, and due date.</w:t>
      </w:r>
    </w:p>
    <w:p>
      <w:r>
        <w:br w:type="page"/>
      </w:r>
    </w:p>
    <w:p>
      <w:pPr>
        <w:pStyle w:val="ChapterEyebrow"/>
      </w:pPr>
      <w:r>
        <w:t>CHAPTER 06  /  ROLES</w:t>
      </w:r>
    </w:p>
    <w:p>
      <w:pPr>
        <w:pStyle w:val="Heading1"/>
      </w:pPr>
      <w:r>
        <w:t>Technical Account Manager playbook</w:t>
      </w:r>
    </w:p>
    <w:p>
      <w:pPr>
        <w:spacing w:after="280"/>
      </w:pPr>
      <w:r>
        <w:rPr>
          <w:color w:val="505F6C"/>
          <w:sz w:val="24"/>
        </w:rPr>
        <w:t>Translate customer pain into a reliable operating record, coordinate owners, and improve escalation quality.</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technical-account-manager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tam</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Primary responsibility</w:t>
      </w:r>
    </w:p>
    <w:p>
      <w:r>
        <w:t>The Technical Account Manager owns continuity across the customer, technical teams, vendors, and internal decision makers. The role does not require pretending to be the deepest administrator in every domain. It requires making impact, evidence, ownership, commitments, and unresolved risk visible.</w:t>
      </w:r>
    </w:p>
    <w:p>
      <w:pPr>
        <w:pStyle w:val="Heading2"/>
      </w:pPr>
      <w:r>
        <w:t>What to capture</w:t>
      </w:r>
    </w:p>
    <w:p>
      <w:pPr>
        <w:pStyle w:val="ListBullet"/>
      </w:pPr>
      <w:r>
        <w:t>Customer-visible impact and affected business process.</w:t>
      </w:r>
    </w:p>
    <w:p>
      <w:pPr>
        <w:pStyle w:val="ListBullet"/>
      </w:pPr>
      <w:r>
        <w:t>Start time, scope, severity, and change correlation.</w:t>
      </w:r>
    </w:p>
    <w:p>
      <w:pPr>
        <w:pStyle w:val="ListBullet"/>
      </w:pPr>
      <w:r>
        <w:t>What has been proven versus what is still suspected.</w:t>
      </w:r>
    </w:p>
    <w:p>
      <w:pPr>
        <w:pStyle w:val="ListBullet"/>
      </w:pPr>
      <w:r>
        <w:t>Named owners for the next evidence and decision gates.</w:t>
      </w:r>
    </w:p>
    <w:p>
      <w:pPr>
        <w:pStyle w:val="ListBullet"/>
      </w:pPr>
      <w:r>
        <w:t>The next customer update and what it will contain.</w:t>
      </w:r>
    </w:p>
    <w:p>
      <w:pPr>
        <w:pStyle w:val="Heading2"/>
      </w:pPr>
      <w:r>
        <w:t>What a strong update sounds like</w:t>
      </w:r>
    </w:p>
    <w:p>
      <w:r>
        <w:t>A strong update separates facts from interpretation: "Jobs in queue A are failing after allocation while queue B remains healthy. Scheduler policy and node health are confirmed normal. The storage team owns the next affected-versus-healthy mount comparison by 15:00. No production change is authorized yet."</w:t>
      </w:r>
    </w:p>
    <w:p>
      <w:pPr>
        <w:pStyle w:val="Heading2"/>
      </w:pPr>
      <w:r>
        <w:t>Expected outputs</w:t>
      </w:r>
    </w:p>
    <w:p>
      <w:r>
        <w:t>The TAM should be able to produce an impact statement, checkpoint plan, owner map, customer-safe update, escalation packet, and final recovery summary. The dossier should reduce the work required for the next team to understand the incident.</w:t>
      </w:r>
    </w:p>
    <w:p>
      <w:pPr>
        <w:pStyle w:val="Heading2"/>
      </w:pPr>
      <w:r>
        <w:t>Avoid these failure modes</w:t>
      </w:r>
    </w:p>
    <w:p>
      <w:r>
        <w:t>Do not forward raw logs without interpretation, promise a root cause before the boundary is supported, let every team request the same evidence again, or close the customer communication loop before technical validation is complete.</w:t>
      </w:r>
    </w:p>
    <w:p>
      <w:r>
        <w:br w:type="page"/>
      </w:r>
    </w:p>
    <w:p>
      <w:pPr>
        <w:pStyle w:val="ChapterEyebrow"/>
      </w:pPr>
      <w:r>
        <w:t>CHAPTER 07  /  ROLES</w:t>
      </w:r>
    </w:p>
    <w:p>
      <w:pPr>
        <w:pStyle w:val="Heading1"/>
      </w:pPr>
      <w:r>
        <w:t>Solutions Engineer and Architect playbook</w:t>
      </w:r>
    </w:p>
    <w:p>
      <w:pPr>
        <w:spacing w:after="280"/>
      </w:pPr>
      <w:r>
        <w:rPr>
          <w:color w:val="505F6C"/>
          <w:sz w:val="24"/>
        </w:rPr>
        <w:t>Turn architecture assumptions into testable boundaries, healthy comparisons, and measurable validation.</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solutions-engineer-architect</w:t>
            </w:r>
          </w:p>
        </w:tc>
        <w:tc>
          <w:tcPr>
            <w:tcW w:type="dxa" w:w="3360"/>
            <w:shd w:fill="F0F7F8"/>
            <w:tcMar>
              <w:top w:w="80" w:type="dxa"/>
              <w:start w:w="110" w:type="dxa"/>
              <w:bottom w:w="80" w:type="dxa"/>
              <w:end w:w="110" w:type="dxa"/>
            </w:tcMar>
          </w:tcPr>
          <w:p>
            <w:r>
              <w:rPr>
                <w:b/>
                <w:color w:val="00879B"/>
                <w:sz w:val="14"/>
              </w:rPr>
              <w:t>KEYWORDS</w:t>
              <w:br/>
            </w:r>
            <w:r>
              <w:rPr>
                <w:b/>
                <w:color w:val="243744"/>
                <w:sz w:val="16"/>
              </w:rPr>
              <w:t>solutions engineer</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Primary responsibility</w:t>
      </w:r>
    </w:p>
    <w:p>
      <w:r>
        <w:t>Solutions Engineers and architects connect the symptom to the system design. Their contribution is strongest when architecture becomes testable: which layer should behave differently if a hypothesis is true, which healthy path provides a fair comparison, and what evidence would move the boundary.</w:t>
      </w:r>
    </w:p>
    <w:p>
      <w:pPr>
        <w:pStyle w:val="Heading2"/>
      </w:pPr>
      <w:r>
        <w:t>Build the current-state map</w:t>
      </w:r>
    </w:p>
    <w:p>
      <w:r>
        <w:t>Map the affected workload, dependencies, control planes, data paths, identity boundaries, shared services, and operational owners. Keep the map at the level required for the incident. A complete enterprise diagram is not useful if the failure sits in one request path.</w:t>
      </w:r>
    </w:p>
    <w:p>
      <w:pPr>
        <w:pStyle w:val="Heading2"/>
      </w:pPr>
      <w:r>
        <w:t>Design evidence, not demonstrations</w:t>
      </w:r>
    </w:p>
    <w:p>
      <w:r>
        <w:t>A demo proves that something can work under selected conditions. Incident evidence must explain the affected condition. Define the comparison population, expected signal, access requirement, and interpretation before collecting data. Avoid post-hoc tests that can be interpreted in any direction.</w:t>
      </w:r>
    </w:p>
    <w:p>
      <w:pPr>
        <w:pStyle w:val="Heading2"/>
      </w:pPr>
      <w:r>
        <w:t>Expected outputs</w:t>
      </w:r>
    </w:p>
    <w:p>
      <w:pPr>
        <w:pStyle w:val="ListBullet"/>
      </w:pPr>
      <w:r>
        <w:t>Current-state and affected-path map.</w:t>
      </w:r>
    </w:p>
    <w:p>
      <w:pPr>
        <w:pStyle w:val="ListBullet"/>
      </w:pPr>
      <w:r>
        <w:t>Candidate boundary set.</w:t>
      </w:r>
    </w:p>
    <w:p>
      <w:pPr>
        <w:pStyle w:val="ListBullet"/>
      </w:pPr>
      <w:r>
        <w:t>Healthy-versus-affected comparison plan.</w:t>
      </w:r>
    </w:p>
    <w:p>
      <w:pPr>
        <w:pStyle w:val="ListBullet"/>
      </w:pPr>
      <w:r>
        <w:t>Validation design tied to the original impact.</w:t>
      </w:r>
    </w:p>
    <w:p>
      <w:pPr>
        <w:pStyle w:val="ListBullet"/>
      </w:pPr>
      <w:r>
        <w:t>Architecture constraints and residual risks.</w:t>
      </w:r>
    </w:p>
    <w:p>
      <w:pPr>
        <w:pStyle w:val="Heading2"/>
      </w:pPr>
      <w:r>
        <w:t>Handoff rule</w:t>
      </w:r>
    </w:p>
    <w:p>
      <w:r>
        <w:t>The architecture owner should make the next owner obvious. A boundary such as "network" is too broad when the evidence supports a specific path, policy, interface, or dependency owner.</w:t>
      </w:r>
    </w:p>
    <w:p>
      <w:r>
        <w:br w:type="page"/>
      </w:r>
    </w:p>
    <w:p>
      <w:pPr>
        <w:pStyle w:val="ChapterEyebrow"/>
      </w:pPr>
      <w:r>
        <w:t>CHAPTER 08  /  ROLES</w:t>
      </w:r>
    </w:p>
    <w:p>
      <w:pPr>
        <w:pStyle w:val="Heading1"/>
      </w:pPr>
      <w:r>
        <w:t>Resident and Field Engineer playbook</w:t>
      </w:r>
    </w:p>
    <w:p>
      <w:pPr>
        <w:spacing w:after="280"/>
      </w:pPr>
      <w:r>
        <w:rPr>
          <w:color w:val="505F6C"/>
          <w:sz w:val="24"/>
        </w:rPr>
        <w:t>Capture local proof, preserve command context, and connect physical observations to the shared path.</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resident-field-engineer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field engineer</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Primary responsibility</w:t>
      </w:r>
    </w:p>
    <w:p>
      <w:r>
        <w:t>The resident or field engineer grounds the incident in local reality. They can verify cabling, power, indicators, environmental conditions, device state, site differences, and command output that remote teams cannot observe directly.</w:t>
      </w:r>
    </w:p>
    <w:p>
      <w:pPr>
        <w:pStyle w:val="Heading2"/>
      </w:pPr>
      <w:r>
        <w:t>Preserve context</w:t>
      </w:r>
    </w:p>
    <w:p>
      <w:r>
        <w:t>Every command record should include purpose, target, timestamp, access level, expected signals, actual result, and whether the command was read-only or changed state. Screenshots without host, time, or scope often become unusable during escalation.</w:t>
      </w:r>
    </w:p>
    <w:p>
      <w:pPr>
        <w:pStyle w:val="Heading2"/>
      </w:pPr>
      <w:r>
        <w:t>Compare sites and peers</w:t>
      </w:r>
    </w:p>
    <w:p>
      <w:r>
        <w:t>When possible, compare the affected asset with a known healthy peer using the same method and time window. Record differences in configuration, firmware, topology, load, environment, and recent work. A peer comparison narrows the boundary faster than collecting more unrelated logs.</w:t>
      </w:r>
    </w:p>
    <w:p>
      <w:pPr>
        <w:pStyle w:val="Heading2"/>
      </w:pPr>
      <w:r>
        <w:t>Stop conditions</w:t>
      </w:r>
    </w:p>
    <w:p>
      <w:r>
        <w:t>Stop and escalate when access is unclear, a command could alter production state, physical safety is uncertain, evidence preservation would be compromised, or the expected target cannot be confirmed. Local presence does not replace authorization.</w:t>
      </w:r>
    </w:p>
    <w:p>
      <w:pPr>
        <w:pStyle w:val="Heading2"/>
      </w:pPr>
      <w:r>
        <w:t>Expected outputs</w:t>
      </w:r>
    </w:p>
    <w:p>
      <w:r>
        <w:t>Observed state, command evidence, photographs or site notes when appropriate, affected-versus-healthy comparison, local owner confirmation, and a concise handoff to the remote or specialist team.</w:t>
      </w:r>
    </w:p>
    <w:p>
      <w:r>
        <w:br w:type="page"/>
      </w:r>
    </w:p>
    <w:p>
      <w:pPr>
        <w:pStyle w:val="ChapterEyebrow"/>
      </w:pPr>
      <w:r>
        <w:t>CHAPTER 09  /  ROLES</w:t>
      </w:r>
    </w:p>
    <w:p>
      <w:pPr>
        <w:pStyle w:val="Heading1"/>
      </w:pPr>
      <w:r>
        <w:t>Platform, SRE, and Operations playbook</w:t>
      </w:r>
    </w:p>
    <w:p>
      <w:pPr>
        <w:spacing w:after="280"/>
      </w:pPr>
      <w:r>
        <w:rPr>
          <w:color w:val="505F6C"/>
          <w:sz w:val="24"/>
        </w:rPr>
        <w:t>Protect production, separate investigation from change, and prove return to service.</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platform-sre-operations</w:t>
            </w:r>
          </w:p>
        </w:tc>
        <w:tc>
          <w:tcPr>
            <w:tcW w:type="dxa" w:w="3360"/>
            <w:shd w:fill="F0F7F8"/>
            <w:tcMar>
              <w:top w:w="80" w:type="dxa"/>
              <w:start w:w="110" w:type="dxa"/>
              <w:bottom w:w="80" w:type="dxa"/>
              <w:end w:w="110" w:type="dxa"/>
            </w:tcMar>
          </w:tcPr>
          <w:p>
            <w:r>
              <w:rPr>
                <w:b/>
                <w:color w:val="00879B"/>
                <w:sz w:val="14"/>
              </w:rPr>
              <w:t>KEYWORDS</w:t>
              <w:br/>
            </w:r>
            <w:r>
              <w:rPr>
                <w:b/>
                <w:color w:val="243744"/>
                <w:sz w:val="16"/>
              </w:rPr>
              <w:t>platform</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Primary responsibility</w:t>
      </w:r>
    </w:p>
    <w:p>
      <w:r>
        <w:t>Platform, SRE, and operations teams protect the production boundary. They decide how evidence may be collected safely, when a controlled change is authorized, what rollback is required, and how service health will be proven after action.</w:t>
      </w:r>
    </w:p>
    <w:p>
      <w:pPr>
        <w:pStyle w:val="Heading2"/>
      </w:pPr>
      <w:r>
        <w:t>Separate four states</w:t>
      </w:r>
    </w:p>
    <w:p>
      <w:pPr>
        <w:pStyle w:val="ListBullet"/>
      </w:pPr>
      <w:r>
        <w:t>Referenced command: the guide explains a command and its purpose.</w:t>
      </w:r>
    </w:p>
    <w:p>
      <w:pPr>
        <w:pStyle w:val="ListBullet"/>
      </w:pPr>
      <w:r>
        <w:t>Externally executed: an authorized operator ran it outside OGO.</w:t>
      </w:r>
    </w:p>
    <w:p>
      <w:pPr>
        <w:pStyle w:val="ListBullet"/>
      </w:pPr>
      <w:r>
        <w:t>Result captured: evidence from the command was committed to the path.</w:t>
      </w:r>
    </w:p>
    <w:p>
      <w:pPr>
        <w:pStyle w:val="ListBullet"/>
      </w:pPr>
      <w:r>
        <w:t>Controlled change: an approved state change was executed with rollback and validation.</w:t>
      </w:r>
    </w:p>
    <w:p>
      <w:r>
        <w:t>These states must not be collapsed. Referencing a command is not execution, and execution is not proof of improvement.</w:t>
      </w:r>
    </w:p>
    <w:p>
      <w:pPr>
        <w:pStyle w:val="Heading2"/>
      </w:pPr>
      <w:r>
        <w:t>Define the safety gate</w:t>
      </w:r>
    </w:p>
    <w:p>
      <w:r>
        <w:t>Before change, confirm scope, authorization, blast radius, rollback, monitoring, stop conditions, and the exact signal expected to improve. Avoid broad changes when a smaller evidence-producing action is available.</w:t>
      </w:r>
    </w:p>
    <w:p>
      <w:pPr>
        <w:pStyle w:val="Heading2"/>
      </w:pPr>
      <w:r>
        <w:t>Prove return to service</w:t>
      </w:r>
    </w:p>
    <w:p>
      <w:r>
        <w:t>Validation should match the original impact and include system health, workload behavior, user experience, and an observation window appropriate to the failure mode. Record partial recovery honestly. If one path recovers while another remains degraded, the incident state is not fully resolved.</w:t>
      </w:r>
    </w:p>
    <w:p>
      <w:pPr>
        <w:pStyle w:val="Heading2"/>
      </w:pPr>
      <w:r>
        <w:t>Expected outputs</w:t>
      </w:r>
    </w:p>
    <w:p>
      <w:r>
        <w:t>Change record, health proof, rollback status, return-to-service decision, residual risk, and follow-up owner.</w:t>
      </w:r>
    </w:p>
    <w:p>
      <w:r>
        <w:br w:type="page"/>
      </w:r>
    </w:p>
    <w:p>
      <w:pPr>
        <w:pStyle w:val="ChapterEyebrow"/>
      </w:pPr>
      <w:r>
        <w:t>CHAPTER 10  /  ROLES</w:t>
      </w:r>
    </w:p>
    <w:p>
      <w:pPr>
        <w:pStyle w:val="Heading1"/>
      </w:pPr>
      <w:r>
        <w:t>Domain Specialist playbook</w:t>
      </w:r>
    </w:p>
    <w:p>
      <w:pPr>
        <w:spacing w:after="280"/>
      </w:pPr>
      <w:r>
        <w:rPr>
          <w:color w:val="505F6C"/>
          <w:sz w:val="24"/>
        </w:rPr>
        <w:t>Interpret layer-specific evidence and improve the guide without taking over unrelated ownership.</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domain-specialist</w:t>
            </w:r>
          </w:p>
        </w:tc>
        <w:tc>
          <w:tcPr>
            <w:tcW w:type="dxa" w:w="3360"/>
            <w:shd w:fill="F0F7F8"/>
            <w:tcMar>
              <w:top w:w="80" w:type="dxa"/>
              <w:start w:w="110" w:type="dxa"/>
              <w:bottom w:w="80" w:type="dxa"/>
              <w:end w:w="110" w:type="dxa"/>
            </w:tcMar>
          </w:tcPr>
          <w:p>
            <w:r>
              <w:rPr>
                <w:b/>
                <w:color w:val="00879B"/>
                <w:sz w:val="14"/>
              </w:rPr>
              <w:t>KEYWORDS</w:t>
              <w:br/>
            </w:r>
            <w:r>
              <w:rPr>
                <w:b/>
                <w:color w:val="243744"/>
                <w:sz w:val="16"/>
              </w:rPr>
              <w:t>specialist</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Primary responsibility</w:t>
      </w:r>
    </w:p>
    <w:p>
      <w:r>
        <w:t>A domain specialist contributes depth at the point where the evidence reaches their layer. The goal is not to restart the investigation in specialist language. The goal is to interpret the committed evidence, identify the next discriminating signal, and make the supported boundary understandable to the rest of the team.</w:t>
      </w:r>
    </w:p>
    <w:p>
      <w:pPr>
        <w:pStyle w:val="Heading2"/>
      </w:pPr>
      <w:r>
        <w:t>Enter with context</w:t>
      </w:r>
    </w:p>
    <w:p>
      <w:r>
        <w:t>Review the pain statement, affected scope, healthy comparison, evidence ledger, eliminated boundaries, and current gate before requesting new data. Ask for the smallest additional evidence set that can change the decision path.</w:t>
      </w:r>
    </w:p>
    <w:p>
      <w:pPr>
        <w:pStyle w:val="Heading2"/>
      </w:pPr>
      <w:r>
        <w:t>Explain confidence</w:t>
      </w:r>
    </w:p>
    <w:p>
      <w:r>
        <w:t>State why the evidence supports or weakens a boundary, what alternative remains, and what would falsify the current interpretation. Avoid absolute claims when the data only supports a probable layer or component class.</w:t>
      </w:r>
    </w:p>
    <w:p>
      <w:pPr>
        <w:pStyle w:val="Heading2"/>
      </w:pPr>
      <w:r>
        <w:t>Improve the system</w:t>
      </w:r>
    </w:p>
    <w:p>
      <w:r>
        <w:t>After the incident, identify missing guide questions, ambiguous options, weak expected signals, unsafe command language, or ownership gaps. Submit a guide improvement that is reusable and vendor-neutral.</w:t>
      </w:r>
    </w:p>
    <w:p>
      <w:pPr>
        <w:pStyle w:val="Heading2"/>
      </w:pPr>
      <w:r>
        <w:t>Expected outputs</w:t>
      </w:r>
    </w:p>
    <w:p>
      <w:r>
        <w:t>Technical interpretation, supported fault boundary, confidence statement, next evidence request, owner route, and guide feedback.</w:t>
      </w:r>
    </w:p>
    <w:p>
      <w:r>
        <w:br w:type="page"/>
      </w:r>
    </w:p>
    <w:p>
      <w:pPr>
        <w:pStyle w:val="ChapterEyebrow"/>
      </w:pPr>
      <w:r>
        <w:t>CHAPTER 11  /  ROLES</w:t>
      </w:r>
    </w:p>
    <w:p>
      <w:pPr>
        <w:pStyle w:val="Heading1"/>
      </w:pPr>
      <w:r>
        <w:t>Incident and Program Leader playbook</w:t>
      </w:r>
    </w:p>
    <w:p>
      <w:pPr>
        <w:spacing w:after="280"/>
      </w:pPr>
      <w:r>
        <w:rPr>
          <w:color w:val="505F6C"/>
          <w:sz w:val="24"/>
        </w:rPr>
        <w:t>Keep owners, decision clocks, dependencies, and external commitments aligned.</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incident-program-leader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incident leader</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Primary responsibility</w:t>
      </w:r>
    </w:p>
    <w:p>
      <w:r>
        <w:t>The incident or program leader manages the operating system around the technical path. They make sure every important question, action, approval, communication, and deadline has an owner. They do not replace the technical decision maker.</w:t>
      </w:r>
    </w:p>
    <w:p>
      <w:pPr>
        <w:pStyle w:val="Heading2"/>
      </w:pPr>
      <w:r>
        <w:t>Make the unresolved work visible</w:t>
      </w:r>
    </w:p>
    <w:p>
      <w:r>
        <w:t>Use the tunnel and dossier to identify unowned branches, overdue evidence, blocked approvals, and cross-team dependencies. A status such as "engineering investigating" is not sufficient. Name the evidence being produced and the next decision it enables.</w:t>
      </w:r>
    </w:p>
    <w:p>
      <w:pPr>
        <w:pStyle w:val="Heading2"/>
      </w:pPr>
      <w:r>
        <w:t>Time-box intelligently</w:t>
      </w:r>
    </w:p>
    <w:p>
      <w:r>
        <w:t>Time-box a checkpoint according to the cost of waiting and the time required to produce reliable evidence. Short checkpoints that only repeat "still investigating" create noise. Long checkpoints without intermediate proof create risk.</w:t>
      </w:r>
    </w:p>
    <w:p>
      <w:pPr>
        <w:pStyle w:val="Heading2"/>
      </w:pPr>
      <w:r>
        <w:t>Control communication</w:t>
      </w:r>
    </w:p>
    <w:p>
      <w:r>
        <w:t>Align internal and external statements with the same evidence state. Preserve uncertainty where uncertainty exists. Record the next commitment and who approves the message. Avoid parallel narratives that cause the customer, vendor, and engineering teams to work from different assumptions.</w:t>
      </w:r>
    </w:p>
    <w:p>
      <w:pPr>
        <w:pStyle w:val="Heading2"/>
      </w:pPr>
      <w:r>
        <w:t>Expected outputs</w:t>
      </w:r>
    </w:p>
    <w:p>
      <w:r>
        <w:t>Checkpoint plan, dependency map, decision log, communication cadence, escalation status, and closure readiness summary.</w:t>
      </w:r>
    </w:p>
    <w:p>
      <w:r>
        <w:br w:type="page"/>
      </w:r>
    </w:p>
    <w:p>
      <w:pPr>
        <w:pStyle w:val="ChapterEyebrow"/>
      </w:pPr>
      <w:r>
        <w:t>CHAPTER 12  /  ROLES</w:t>
      </w:r>
    </w:p>
    <w:p>
      <w:pPr>
        <w:pStyle w:val="Heading1"/>
      </w:pPr>
      <w:r>
        <w:t>Engineering and Operations Leader playbook</w:t>
      </w:r>
    </w:p>
    <w:p>
      <w:pPr>
        <w:spacing w:after="280"/>
      </w:pPr>
      <w:r>
        <w:rPr>
          <w:color w:val="505F6C"/>
          <w:sz w:val="24"/>
        </w:rPr>
        <w:t>Make authorization, risk posture, and resource decisions from a visible evidence state.</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engineering-operations-leader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engineering leader</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Primary responsibility</w:t>
      </w:r>
    </w:p>
    <w:p>
      <w:r>
        <w:t>Engineering and operations leaders decide how much risk the organization will accept, which resources are assigned, whether a change is authorized, and when an incident may move from active response to follow-up work.</w:t>
      </w:r>
    </w:p>
    <w:p>
      <w:pPr>
        <w:pStyle w:val="Heading2"/>
      </w:pPr>
      <w:r>
        <w:t>Read the evidence state</w:t>
      </w:r>
    </w:p>
    <w:p>
      <w:r>
        <w:t>A leadership readout should answer: what is proven, what remains uncertain, what impact continues, where the candidate boundary sits, who owns the next move, what approval is required, and what happens if the team waits.</w:t>
      </w:r>
    </w:p>
    <w:p>
      <w:pPr>
        <w:pStyle w:val="Heading2"/>
      </w:pPr>
      <w:r>
        <w:t>Authorize measurable actions</w:t>
      </w:r>
    </w:p>
    <w:p>
      <w:r>
        <w:t>An approval should name scope, intended outcome, rollback, stop conditions, and validation. Avoid approving broad remediation based on urgency alone. When evidence is incomplete, authorize the smallest reversible action that can reduce impact or produce a decisive signal.</w:t>
      </w:r>
    </w:p>
    <w:p>
      <w:pPr>
        <w:pStyle w:val="Heading2"/>
      </w:pPr>
      <w:r>
        <w:t>Invest after the incident</w:t>
      </w:r>
    </w:p>
    <w:p>
      <w:r>
        <w:t>Use recurring evidence gaps, ownership delays, unsafe manual work, and validation weaknesses to prioritize platform improvements. The goal is not merely fewer incidents; it is faster boundary narrowing and safer recovery when incidents occur.</w:t>
      </w:r>
    </w:p>
    <w:p>
      <w:pPr>
        <w:pStyle w:val="Heading2"/>
      </w:pPr>
      <w:r>
        <w:t>Expected outputs</w:t>
      </w:r>
    </w:p>
    <w:p>
      <w:r>
        <w:t>Risk posture, authorization decision, resource assignment, operating readout, residual-risk acceptance, and investment follow-up.</w:t>
      </w:r>
    </w:p>
    <w:p>
      <w:r>
        <w:br w:type="page"/>
      </w:r>
    </w:p>
    <w:p>
      <w:pPr>
        <w:pStyle w:val="ChapterEyebrow"/>
      </w:pPr>
      <w:r>
        <w:t>CHAPTER 13  /  OPERATING SAFELY</w:t>
      </w:r>
    </w:p>
    <w:p>
      <w:pPr>
        <w:pStyle w:val="Heading1"/>
      </w:pPr>
      <w:r>
        <w:t>Technology domain walkthroughs</w:t>
      </w:r>
    </w:p>
    <w:p>
      <w:pPr>
        <w:spacing w:after="280"/>
      </w:pPr>
      <w:r>
        <w:rPr>
          <w:color w:val="505F6C"/>
          <w:sz w:val="24"/>
        </w:rPr>
        <w:t>Apply the same operating logic across HPC, AI platforms, cloud, networking, storage, and data-center operations.</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everyone / domain-specialist</w:t>
            </w:r>
          </w:p>
        </w:tc>
        <w:tc>
          <w:tcPr>
            <w:tcW w:type="dxa" w:w="3360"/>
            <w:shd w:fill="F0F7F8"/>
            <w:tcMar>
              <w:top w:w="80" w:type="dxa"/>
              <w:start w:w="110" w:type="dxa"/>
              <w:bottom w:w="80" w:type="dxa"/>
              <w:end w:w="110" w:type="dxa"/>
            </w:tcMar>
          </w:tcPr>
          <w:p>
            <w:r>
              <w:rPr>
                <w:b/>
                <w:color w:val="00879B"/>
                <w:sz w:val="14"/>
              </w:rPr>
              <w:t>KEYWORDS</w:t>
              <w:br/>
            </w:r>
            <w:r>
              <w:rPr>
                <w:b/>
                <w:color w:val="243744"/>
                <w:sz w:val="16"/>
              </w:rPr>
              <w:t>hpc</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HPC and AI infrastructure</w:t>
      </w:r>
    </w:p>
    <w:p>
      <w:r>
        <w:t>GPU, fabric, scheduler, thermal, memory, storage, and workload symptoms cross ownership boundaries. Define the affected job population, compare healthy nodes or queues, and separate workload behavior from shared platform behavior before assigning a hardware or scheduler boundary.</w:t>
      </w:r>
    </w:p>
    <w:p>
      <w:pPr>
        <w:pStyle w:val="Heading2"/>
      </w:pPr>
      <w:r>
        <w:t>AI platform</w:t>
      </w:r>
    </w:p>
    <w:p>
      <w:r>
        <w:t>A model-serving symptom may arise from model quality, capacity, dependency latency, policy, data, orchestration, or request shaping. Preserve request class and healthy-path comparisons. Do not label a quality issue as infrastructure without evidence, or an infrastructure issue as model behavior because the output is visible at the application layer.</w:t>
      </w:r>
    </w:p>
    <w:p>
      <w:pPr>
        <w:pStyle w:val="Heading2"/>
      </w:pPr>
      <w:r>
        <w:t>Cloud</w:t>
      </w:r>
    </w:p>
    <w:p>
      <w:r>
        <w:t>Cloud symptoms can sit in identity, quota, network, service control plane, workload configuration, regional dependency, or provider service. Use region, account, request class, and dependency comparisons to avoid treating the first visible service as the fault boundary.</w:t>
      </w:r>
    </w:p>
    <w:p>
      <w:pPr>
        <w:pStyle w:val="Heading2"/>
      </w:pPr>
      <w:r>
        <w:t>Networking</w:t>
      </w:r>
    </w:p>
    <w:p>
      <w:r>
        <w:t>Define source, destination, path, protocol, time window, and expected behavior. Separate reachability, loss, latency, policy, name resolution, and application response. A packet path should be paired with control-plane and endpoint evidence when relevant.</w:t>
      </w:r>
    </w:p>
    <w:p>
      <w:pPr>
        <w:pStyle w:val="Heading2"/>
      </w:pPr>
      <w:r>
        <w:t>Storage</w:t>
      </w:r>
    </w:p>
    <w:p>
      <w:r>
        <w:t>Separate capacity, latency, throughput, pathing, metadata, permissions, and application access patterns. Compare the affected mount, volume, or object path with a healthy peer under similar load.</w:t>
      </w:r>
    </w:p>
    <w:p>
      <w:pPr>
        <w:pStyle w:val="Heading2"/>
      </w:pPr>
      <w:r>
        <w:t>Data center and physical systems</w:t>
      </w:r>
    </w:p>
    <w:p>
      <w:r>
        <w:t>Power, cooling, rack position, cabling, environmental conditions, firmware, and maintenance history matter. Physical work requires explicit safety and authorization. Preserve photographs, labels, timestamps, and the exact asset identity.</w:t>
      </w:r>
    </w:p>
    <w:p>
      <w:r>
        <w:br w:type="page"/>
      </w:r>
    </w:p>
    <w:p>
      <w:pPr>
        <w:pStyle w:val="ChapterEyebrow"/>
      </w:pPr>
      <w:r>
        <w:t>CHAPTER 14  /  OPERATING SAFELY</w:t>
      </w:r>
    </w:p>
    <w:p>
      <w:pPr>
        <w:pStyle w:val="Heading1"/>
      </w:pPr>
      <w:r>
        <w:t>Evidence quality and command safety</w:t>
      </w:r>
    </w:p>
    <w:p>
      <w:pPr>
        <w:spacing w:after="280"/>
      </w:pPr>
      <w:r>
        <w:rPr>
          <w:color w:val="505F6C"/>
          <w:sz w:val="24"/>
        </w:rPr>
        <w:t>Collect decision-changing evidence while preserving authorization, context, and production safety.</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everyone / platform-sre-operations / resident-field-engineer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evidence quality</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Evidence quality standard</w:t>
      </w:r>
    </w:p>
    <w:p>
      <w:r>
        <w:t>Evidence is useful when it is attributable, scoped, timed, reproducible enough for review, and connected to a decision. A copied error string without source and time is a clue, not a complete evidence record.</w:t>
      </w:r>
    </w:p>
    <w:p>
      <w:pPr>
        <w:pStyle w:val="Heading2"/>
      </w:pPr>
      <w:r>
        <w:t>Command record requirements</w:t>
      </w:r>
    </w:p>
    <w:tbl>
      <w:tblPr>
        <w:tblW w:type="auto" w:w="0"/>
        <w:jc w:val="left"/>
        <w:tblLayout w:type="autofit"/>
        <w:tblLook w:firstColumn="1" w:firstRow="1" w:lastColumn="0" w:lastRow="0" w:noHBand="0" w:noVBand="1" w:val="04A0"/>
      </w:tblPr>
      <w:tblGrid>
        <w:gridCol w:w="5040"/>
        <w:gridCol w:w="5040"/>
      </w:tblGrid>
      <w:tr>
        <w:tc>
          <w:tcPr>
            <w:tcW w:type="dxa" w:w="5040"/>
            <w:shd w:fill="092433"/>
            <w:tcMar>
              <w:top w:w="75" w:type="dxa"/>
              <w:start w:w="90" w:type="dxa"/>
              <w:bottom w:w="75" w:type="dxa"/>
              <w:end w:w="90" w:type="dxa"/>
            </w:tcMar>
          </w:tcPr>
          <w:p>
            <w:r>
              <w:rPr>
                <w:b/>
                <w:color w:val="F0FAFC"/>
                <w:sz w:val="15"/>
              </w:rPr>
              <w:t>Field</w:t>
            </w:r>
          </w:p>
        </w:tc>
        <w:tc>
          <w:tcPr>
            <w:tcW w:type="dxa" w:w="5040"/>
            <w:shd w:fill="092433"/>
            <w:tcMar>
              <w:top w:w="75" w:type="dxa"/>
              <w:start w:w="90" w:type="dxa"/>
              <w:bottom w:w="75" w:type="dxa"/>
              <w:end w:w="90" w:type="dxa"/>
            </w:tcMar>
          </w:tcPr>
          <w:p>
            <w:r>
              <w:rPr>
                <w:b/>
                <w:color w:val="F0FAFC"/>
                <w:sz w:val="15"/>
              </w:rPr>
              <w:t>Required meaning</w:t>
            </w:r>
          </w:p>
        </w:tc>
      </w:tr>
      <w:tr>
        <w:tc>
          <w:tcPr>
            <w:tcW w:type="dxa" w:w="5040"/>
            <w:tcMar>
              <w:top w:w="70" w:type="dxa"/>
              <w:start w:w="90" w:type="dxa"/>
              <w:bottom w:w="70" w:type="dxa"/>
              <w:end w:w="90" w:type="dxa"/>
            </w:tcMar>
          </w:tcPr>
          <w:p>
            <w:r>
              <w:rPr>
                <w:color w:val="2D3D4A"/>
                <w:sz w:val="16"/>
              </w:rPr>
              <w:t>Purpose</w:t>
            </w:r>
          </w:p>
        </w:tc>
        <w:tc>
          <w:tcPr>
            <w:tcW w:type="dxa" w:w="5040"/>
            <w:tcMar>
              <w:top w:w="70" w:type="dxa"/>
              <w:start w:w="90" w:type="dxa"/>
              <w:bottom w:w="70" w:type="dxa"/>
              <w:end w:w="90" w:type="dxa"/>
            </w:tcMar>
          </w:tcPr>
          <w:p>
            <w:r>
              <w:rPr>
                <w:color w:val="2D3D4A"/>
                <w:sz w:val="16"/>
              </w:rPr>
              <w:t>Which question the command answers</w:t>
            </w:r>
          </w:p>
        </w:tc>
      </w:tr>
      <w:tr>
        <w:tc>
          <w:tcPr>
            <w:tcW w:type="dxa" w:w="5040"/>
            <w:shd w:fill="F6F8FA"/>
            <w:tcMar>
              <w:top w:w="70" w:type="dxa"/>
              <w:start w:w="90" w:type="dxa"/>
              <w:bottom w:w="70" w:type="dxa"/>
              <w:end w:w="90" w:type="dxa"/>
            </w:tcMar>
          </w:tcPr>
          <w:p>
            <w:r>
              <w:rPr>
                <w:color w:val="2D3D4A"/>
                <w:sz w:val="16"/>
              </w:rPr>
              <w:t>Target</w:t>
            </w:r>
          </w:p>
        </w:tc>
        <w:tc>
          <w:tcPr>
            <w:tcW w:type="dxa" w:w="5040"/>
            <w:shd w:fill="F6F8FA"/>
            <w:tcMar>
              <w:top w:w="70" w:type="dxa"/>
              <w:start w:w="90" w:type="dxa"/>
              <w:bottom w:w="70" w:type="dxa"/>
              <w:end w:w="90" w:type="dxa"/>
            </w:tcMar>
          </w:tcPr>
          <w:p>
            <w:r>
              <w:rPr>
                <w:color w:val="2D3D4A"/>
                <w:sz w:val="16"/>
              </w:rPr>
              <w:t>Exact system, scope, or object</w:t>
            </w:r>
          </w:p>
        </w:tc>
      </w:tr>
      <w:tr>
        <w:tc>
          <w:tcPr>
            <w:tcW w:type="dxa" w:w="5040"/>
            <w:tcMar>
              <w:top w:w="70" w:type="dxa"/>
              <w:start w:w="90" w:type="dxa"/>
              <w:bottom w:w="70" w:type="dxa"/>
              <w:end w:w="90" w:type="dxa"/>
            </w:tcMar>
          </w:tcPr>
          <w:p>
            <w:r>
              <w:rPr>
                <w:color w:val="2D3D4A"/>
                <w:sz w:val="16"/>
              </w:rPr>
              <w:t>Access</w:t>
            </w:r>
          </w:p>
        </w:tc>
        <w:tc>
          <w:tcPr>
            <w:tcW w:type="dxa" w:w="5040"/>
            <w:tcMar>
              <w:top w:w="70" w:type="dxa"/>
              <w:start w:w="90" w:type="dxa"/>
              <w:bottom w:w="70" w:type="dxa"/>
              <w:end w:w="90" w:type="dxa"/>
            </w:tcMar>
          </w:tcPr>
          <w:p>
            <w:r>
              <w:rPr>
                <w:color w:val="2D3D4A"/>
                <w:sz w:val="16"/>
              </w:rPr>
              <w:t>Required privilege and owner</w:t>
            </w:r>
          </w:p>
        </w:tc>
      </w:tr>
      <w:tr>
        <w:tc>
          <w:tcPr>
            <w:tcW w:type="dxa" w:w="5040"/>
            <w:shd w:fill="F6F8FA"/>
            <w:tcMar>
              <w:top w:w="70" w:type="dxa"/>
              <w:start w:w="90" w:type="dxa"/>
              <w:bottom w:w="70" w:type="dxa"/>
              <w:end w:w="90" w:type="dxa"/>
            </w:tcMar>
          </w:tcPr>
          <w:p>
            <w:r>
              <w:rPr>
                <w:color w:val="2D3D4A"/>
                <w:sz w:val="16"/>
              </w:rPr>
              <w:t>Safety</w:t>
            </w:r>
          </w:p>
        </w:tc>
        <w:tc>
          <w:tcPr>
            <w:tcW w:type="dxa" w:w="5040"/>
            <w:shd w:fill="F6F8FA"/>
            <w:tcMar>
              <w:top w:w="70" w:type="dxa"/>
              <w:start w:w="90" w:type="dxa"/>
              <w:bottom w:w="70" w:type="dxa"/>
              <w:end w:w="90" w:type="dxa"/>
            </w:tcMar>
          </w:tcPr>
          <w:p>
            <w:r>
              <w:rPr>
                <w:color w:val="2D3D4A"/>
                <w:sz w:val="16"/>
              </w:rPr>
              <w:t>Read-only, controlled change, or prohibited</w:t>
            </w:r>
          </w:p>
        </w:tc>
      </w:tr>
      <w:tr>
        <w:tc>
          <w:tcPr>
            <w:tcW w:type="dxa" w:w="5040"/>
            <w:tcMar>
              <w:top w:w="70" w:type="dxa"/>
              <w:start w:w="90" w:type="dxa"/>
              <w:bottom w:w="70" w:type="dxa"/>
              <w:end w:w="90" w:type="dxa"/>
            </w:tcMar>
          </w:tcPr>
          <w:p>
            <w:r>
              <w:rPr>
                <w:color w:val="2D3D4A"/>
                <w:sz w:val="16"/>
              </w:rPr>
              <w:t>Expected signals</w:t>
            </w:r>
          </w:p>
        </w:tc>
        <w:tc>
          <w:tcPr>
            <w:tcW w:type="dxa" w:w="5040"/>
            <w:tcMar>
              <w:top w:w="70" w:type="dxa"/>
              <w:start w:w="90" w:type="dxa"/>
              <w:bottom w:w="70" w:type="dxa"/>
              <w:end w:w="90" w:type="dxa"/>
            </w:tcMar>
          </w:tcPr>
          <w:p>
            <w:r>
              <w:rPr>
                <w:color w:val="2D3D4A"/>
                <w:sz w:val="16"/>
              </w:rPr>
              <w:t>Outcomes and how they affect the path</w:t>
            </w:r>
          </w:p>
        </w:tc>
      </w:tr>
      <w:tr>
        <w:tc>
          <w:tcPr>
            <w:tcW w:type="dxa" w:w="5040"/>
            <w:shd w:fill="F6F8FA"/>
            <w:tcMar>
              <w:top w:w="70" w:type="dxa"/>
              <w:start w:w="90" w:type="dxa"/>
              <w:bottom w:w="70" w:type="dxa"/>
              <w:end w:w="90" w:type="dxa"/>
            </w:tcMar>
          </w:tcPr>
          <w:p>
            <w:r>
              <w:rPr>
                <w:color w:val="2D3D4A"/>
                <w:sz w:val="16"/>
              </w:rPr>
              <w:t>Actual result</w:t>
            </w:r>
          </w:p>
        </w:tc>
        <w:tc>
          <w:tcPr>
            <w:tcW w:type="dxa" w:w="5040"/>
            <w:shd w:fill="F6F8FA"/>
            <w:tcMar>
              <w:top w:w="70" w:type="dxa"/>
              <w:start w:w="90" w:type="dxa"/>
              <w:bottom w:w="70" w:type="dxa"/>
              <w:end w:w="90" w:type="dxa"/>
            </w:tcMar>
          </w:tcPr>
          <w:p>
            <w:r>
              <w:rPr>
                <w:color w:val="2D3D4A"/>
                <w:sz w:val="16"/>
              </w:rPr>
              <w:t>Captured output or observation</w:t>
            </w:r>
          </w:p>
        </w:tc>
      </w:tr>
      <w:tr>
        <w:tc>
          <w:tcPr>
            <w:tcW w:type="dxa" w:w="5040"/>
            <w:tcMar>
              <w:top w:w="70" w:type="dxa"/>
              <w:start w:w="90" w:type="dxa"/>
              <w:bottom w:w="70" w:type="dxa"/>
              <w:end w:w="90" w:type="dxa"/>
            </w:tcMar>
          </w:tcPr>
          <w:p>
            <w:r>
              <w:rPr>
                <w:color w:val="2D3D4A"/>
                <w:sz w:val="16"/>
              </w:rPr>
              <w:t>Timestamp</w:t>
            </w:r>
          </w:p>
        </w:tc>
        <w:tc>
          <w:tcPr>
            <w:tcW w:type="dxa" w:w="5040"/>
            <w:tcMar>
              <w:top w:w="70" w:type="dxa"/>
              <w:start w:w="90" w:type="dxa"/>
              <w:bottom w:w="70" w:type="dxa"/>
              <w:end w:w="90" w:type="dxa"/>
            </w:tcMar>
          </w:tcPr>
          <w:p>
            <w:r>
              <w:rPr>
                <w:color w:val="2D3D4A"/>
                <w:sz w:val="16"/>
              </w:rPr>
              <w:t>When the state was observed</w:t>
            </w:r>
          </w:p>
        </w:tc>
      </w:tr>
    </w:tbl>
    <w:p>
      <w:pPr>
        <w:pStyle w:val="Heading2"/>
      </w:pPr>
      <w:r>
        <w:t>Investigation versus change</w:t>
      </w:r>
    </w:p>
    <w:p>
      <w:r>
        <w:t>Read-only collection can still create load, expose sensitive data, or require elevated access. Controlled change requires authorization, rollback, monitoring, and validation. OGO should explain the boundary; it should not imply that a command is safe simply because it appears in a guide.</w:t>
      </w:r>
    </w:p>
    <w:p>
      <w:pPr>
        <w:pStyle w:val="Heading2"/>
      </w:pPr>
      <w:r>
        <w:t>Stop conditions</w:t>
      </w:r>
    </w:p>
    <w:p>
      <w:r>
        <w:t>Stop when the target is uncertain, the command differs from the approved form, the result indicates a larger blast radius, rollback is unavailable, access is not authorized, or evidence preservation could be lost. Record the stop and route it to the accountable owner.</w:t>
      </w:r>
    </w:p>
    <w:p>
      <w:pPr>
        <w:pStyle w:val="Heading2"/>
      </w:pPr>
      <w:r>
        <w:t>Redaction and handling</w:t>
      </w:r>
    </w:p>
    <w:p>
      <w:r>
        <w:t>Remove secrets, tokens, personal data, customer identifiers, and unnecessary payload content before sharing. Preserve the structure required for interpretation without copying the entire environment into the dossier.</w:t>
      </w:r>
    </w:p>
    <w:p>
      <w:r>
        <w:br w:type="page"/>
      </w:r>
    </w:p>
    <w:p>
      <w:pPr>
        <w:pStyle w:val="ChapterEyebrow"/>
      </w:pPr>
      <w:r>
        <w:t>CHAPTER 15  /  OPERATING SAFELY</w:t>
      </w:r>
    </w:p>
    <w:p>
      <w:pPr>
        <w:pStyle w:val="Heading1"/>
      </w:pPr>
      <w:r>
        <w:t>Optional AI, BYOK, and privacy</w:t>
      </w:r>
    </w:p>
    <w:p>
      <w:pPr>
        <w:spacing w:after="280"/>
      </w:pPr>
      <w:r>
        <w:rPr>
          <w:color w:val="505F6C"/>
          <w:sz w:val="24"/>
        </w:rPr>
        <w:t>Understand deterministic operation, per-session keys, hosted trust boundaries, and prohibited logging.</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everyone / engineering-operations-leader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ai</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Deterministic first</w:t>
      </w:r>
    </w:p>
    <w:p>
      <w:r>
        <w:t>The core simulator and approved guide path operate without AI. Optional AI can help classify a pain statement or summarize a record, but its output is advisory. Evidence committed by the operator remains the source of truth.</w:t>
      </w:r>
    </w:p>
    <w:p>
      <w:pPr>
        <w:pStyle w:val="Heading2"/>
      </w:pPr>
      <w:r>
        <w:t>Per-session BYOK</w:t>
      </w:r>
    </w:p>
    <w:p>
      <w:r>
        <w:t>A user-provided API key should remain isolated to the current browser session or request path according to the deployed implementation. It must not be written to local storage, analytics, logs, source control, or a public client environment variable. Never prefix a secret with NEXT_PUBLIC_.</w:t>
      </w:r>
    </w:p>
    <w:p>
      <w:pPr>
        <w:pStyle w:val="Heading2"/>
      </w:pPr>
      <w:r>
        <w:t>Hosted environment key</w:t>
      </w:r>
    </w:p>
    <w:p>
      <w:r>
        <w:t>A server-side OPENAI_API_KEY belongs in the hosting provider's secret settings. Anonymous public traffic should not inherit an unrestricted owner key by default. Use explicit policy, rate limits, usage caps, monitoring, and a server-only boundary.</w:t>
      </w:r>
    </w:p>
    <w:p>
      <w:pPr>
        <w:pStyle w:val="Heading2"/>
      </w:pPr>
      <w:r>
        <w:t>Safe logs</w:t>
      </w:r>
    </w:p>
    <w:p>
      <w:r>
        <w:t>Safe logs may include request ID, deployment mode, region, model name, latency, token counts, success or failure state, and redacted error category. They must not include API keys, full prompts containing customer data, raw evidence payloads, access tokens, or secrets returned by a provider.</w:t>
      </w:r>
    </w:p>
    <w:p>
      <w:pPr>
        <w:pStyle w:val="Heading2"/>
      </w:pPr>
      <w:r>
        <w:t>Multi-user boundary</w:t>
      </w:r>
    </w:p>
    <w:p>
      <w:r>
        <w:t>Each request must be associated with its own session context. User A must never receive User B's key, prompt, evidence, or response. Hosted relays should avoid shared mutable key state and should redact provider errors before returning them to the browser.</w:t>
      </w:r>
    </w:p>
    <w:p>
      <w:r>
        <w:br w:type="page"/>
      </w:r>
    </w:p>
    <w:p>
      <w:pPr>
        <w:pStyle w:val="ChapterEyebrow"/>
      </w:pPr>
      <w:r>
        <w:t>CHAPTER 16  /  OPERATING SAFELY</w:t>
      </w:r>
    </w:p>
    <w:p>
      <w:pPr>
        <w:pStyle w:val="Heading1"/>
      </w:pPr>
      <w:r>
        <w:t>Dossiers and escalation packets</w:t>
      </w:r>
    </w:p>
    <w:p>
      <w:pPr>
        <w:spacing w:after="280"/>
      </w:pPr>
      <w:r>
        <w:rPr>
          <w:color w:val="505F6C"/>
          <w:sz w:val="24"/>
        </w:rPr>
        <w:t>Produce a stable evidence package that another team can understand without reconstructing the incident.</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technical-account-manager / incident-program-leader / domain-specialist</w:t>
            </w:r>
          </w:p>
        </w:tc>
        <w:tc>
          <w:tcPr>
            <w:tcW w:type="dxa" w:w="3360"/>
            <w:shd w:fill="F0F7F8"/>
            <w:tcMar>
              <w:top w:w="80" w:type="dxa"/>
              <w:start w:w="110" w:type="dxa"/>
              <w:bottom w:w="80" w:type="dxa"/>
              <w:end w:w="110" w:type="dxa"/>
            </w:tcMar>
          </w:tcPr>
          <w:p>
            <w:r>
              <w:rPr>
                <w:b/>
                <w:color w:val="00879B"/>
                <w:sz w:val="14"/>
              </w:rPr>
              <w:t>KEYWORDS</w:t>
              <w:br/>
            </w:r>
            <w:r>
              <w:rPr>
                <w:b/>
                <w:color w:val="243744"/>
                <w:sz w:val="16"/>
              </w:rPr>
              <w:t>dossier</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Purpose of the dossier</w:t>
      </w:r>
    </w:p>
    <w:p>
      <w:r>
        <w:t>The dossier is a decision-ready incident record, not a dump of every message and log. It should let a qualified reviewer understand impact, scope, evidence, supported boundaries, actions, ownership, and validation without calling the original operator.</w:t>
      </w:r>
    </w:p>
    <w:p>
      <w:pPr>
        <w:pStyle w:val="Heading2"/>
      </w:pPr>
      <w:r>
        <w:t>Required sections</w:t>
      </w:r>
    </w:p>
    <w:p>
      <w:pPr>
        <w:pStyle w:val="ListBullet"/>
      </w:pPr>
      <w:r>
        <w:t>Incident identity, time window, and customer or service impact.</w:t>
      </w:r>
    </w:p>
    <w:p>
      <w:pPr>
        <w:pStyle w:val="ListBullet"/>
      </w:pPr>
      <w:r>
        <w:t>Affected scope and healthy comparison.</w:t>
      </w:r>
    </w:p>
    <w:p>
      <w:pPr>
        <w:pStyle w:val="ListBullet"/>
      </w:pPr>
      <w:r>
        <w:t>Evidence ledger with timestamps and sources.</w:t>
      </w:r>
    </w:p>
    <w:p>
      <w:pPr>
        <w:pStyle w:val="ListBullet"/>
      </w:pPr>
      <w:r>
        <w:t>Candidate boundaries, eliminated boundaries, and current confidence.</w:t>
      </w:r>
    </w:p>
    <w:p>
      <w:pPr>
        <w:pStyle w:val="ListBullet"/>
      </w:pPr>
      <w:r>
        <w:t>Command and action record with authorization.</w:t>
      </w:r>
    </w:p>
    <w:p>
      <w:pPr>
        <w:pStyle w:val="ListBullet"/>
      </w:pPr>
      <w:r>
        <w:t>Owner handoff and next checkpoint.</w:t>
      </w:r>
    </w:p>
    <w:p>
      <w:pPr>
        <w:pStyle w:val="ListBullet"/>
      </w:pPr>
      <w:r>
        <w:t>Escalation ask and the evidence already collected.</w:t>
      </w:r>
    </w:p>
    <w:p>
      <w:pPr>
        <w:pStyle w:val="ListBullet"/>
      </w:pPr>
      <w:r>
        <w:t>Exit criteria, recovery proof, and residual risk.</w:t>
      </w:r>
    </w:p>
    <w:p>
      <w:pPr>
        <w:pStyle w:val="Heading2"/>
      </w:pPr>
      <w:r>
        <w:t>Escalation quality</w:t>
      </w:r>
    </w:p>
    <w:p>
      <w:r>
        <w:t>A strong escalation asks for a specific interpretation, action, or approval. It shows why the receiving team is the correct owner and prevents repeated evidence requests. "Please investigate" is weak. "Confirm whether the affected-versus-healthy controller state supports a control-plane boundary and identify the safe next collection step" is actionable.</w:t>
      </w:r>
    </w:p>
    <w:p>
      <w:pPr>
        <w:pStyle w:val="Heading2"/>
      </w:pPr>
      <w:r>
        <w:t>Publication safety</w:t>
      </w:r>
    </w:p>
    <w:p>
      <w:r>
        <w:t>Remove secrets and unnecessary identifiers. Mark assumptions as assumptions. Do not claim root cause when the dossier supports only a boundary. Preserve enough technical detail for review while respecting customer and security policy.</w:t>
      </w:r>
    </w:p>
    <w:p>
      <w:r>
        <w:br w:type="page"/>
      </w:r>
    </w:p>
    <w:p>
      <w:pPr>
        <w:pStyle w:val="ChapterEyebrow"/>
      </w:pPr>
      <w:r>
        <w:t>CHAPTER 17  /  BUILD CONTRIBUTE</w:t>
      </w:r>
    </w:p>
    <w:p>
      <w:pPr>
        <w:pStyle w:val="Heading1"/>
      </w:pPr>
      <w:r>
        <w:t>Contributing diagnostic guides</w:t>
      </w:r>
    </w:p>
    <w:p>
      <w:pPr>
        <w:spacing w:after="280"/>
      </w:pPr>
      <w:r>
        <w:rPr>
          <w:color w:val="505F6C"/>
          <w:sz w:val="24"/>
        </w:rPr>
        <w:t>Turn repeatable operating pain into a safe, vendor-neutral, reviewable guide.</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contributor / domain-specialist</w:t>
            </w:r>
          </w:p>
        </w:tc>
        <w:tc>
          <w:tcPr>
            <w:tcW w:type="dxa" w:w="3360"/>
            <w:shd w:fill="F0F7F8"/>
            <w:tcMar>
              <w:top w:w="80" w:type="dxa"/>
              <w:start w:w="110" w:type="dxa"/>
              <w:bottom w:w="80" w:type="dxa"/>
              <w:end w:w="110" w:type="dxa"/>
            </w:tcMar>
          </w:tcPr>
          <w:p>
            <w:r>
              <w:rPr>
                <w:b/>
                <w:color w:val="00879B"/>
                <w:sz w:val="14"/>
              </w:rPr>
              <w:t>KEYWORDS</w:t>
              <w:br/>
            </w:r>
            <w:r>
              <w:rPr>
                <w:b/>
                <w:color w:val="243744"/>
                <w:sz w:val="16"/>
              </w:rPr>
              <w:t>contribute</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Start with a repeatable pain</w:t>
      </w:r>
    </w:p>
    <w:p>
      <w:r>
        <w:t>A guide should address one recognizable operating problem with a stable evidence path. Avoid a universal guide for an entire technology domain. The pain statement should include common operator language, alerts, and symptom examples without embedding customer data.</w:t>
      </w:r>
    </w:p>
    <w:p>
      <w:pPr>
        <w:pStyle w:val="Heading2"/>
      </w:pPr>
      <w:r>
        <w:t>Build the evidence graph</w:t>
      </w:r>
    </w:p>
    <w:p>
      <w:r>
        <w:t>Each question should define the evidence being requested, answer options, and next target. Branches must resolve to another step or a complete resolution. Every answer should have a meaningful consequence; decorative questions increase operator effort without improving the boundary.</w:t>
      </w:r>
    </w:p>
    <w:p>
      <w:pPr>
        <w:pStyle w:val="Heading2"/>
      </w:pPr>
      <w:r>
        <w:t>Add ownership and safety</w:t>
      </w:r>
    </w:p>
    <w:p>
      <w:r>
        <w:t>Identify who can provide the evidence, who authorizes change, who performs the action, who receives escalation, and who validates recovery. Commands must include purpose, expected signals, access, and safety classification.</w:t>
      </w:r>
    </w:p>
    <w:p>
      <w:pPr>
        <w:pStyle w:val="Heading2"/>
      </w:pPr>
      <w:r>
        <w:t>Review before submission</w:t>
      </w:r>
    </w:p>
    <w:p>
      <w:r>
        <w:t>Run schema, graph, domain-isolation, language, TypeScript, and test validation. Read the guide as an operator who did not author it. Confirm that the current state, next owner, safety gate, and exit proof are always understandable.</w:t>
      </w:r>
    </w:p>
    <w:p>
      <w:pPr>
        <w:pStyle w:val="Heading2"/>
      </w:pPr>
      <w:r>
        <w:t>Contribution outcome</w:t>
      </w:r>
    </w:p>
    <w:p>
      <w:r>
        <w:t>A merged guide should improve the shared public knowledge base without exposing private platform logic, customer information, proprietary vendor procedures, or unsafe automation.</w:t>
      </w:r>
    </w:p>
    <w:p>
      <w:r>
        <w:br w:type="page"/>
      </w:r>
    </w:p>
    <w:p>
      <w:pPr>
        <w:pStyle w:val="ChapterEyebrow"/>
      </w:pPr>
      <w:r>
        <w:t>CHAPTER 18  /  BUILD CONTRIBUTE</w:t>
      </w:r>
    </w:p>
    <w:p>
      <w:pPr>
        <w:pStyle w:val="Heading1"/>
      </w:pPr>
      <w:r>
        <w:t>JSON guide authoring reference</w:t>
      </w:r>
    </w:p>
    <w:p>
      <w:pPr>
        <w:spacing w:after="280"/>
      </w:pPr>
      <w:r>
        <w:rPr>
          <w:color w:val="505F6C"/>
          <w:sz w:val="24"/>
        </w:rPr>
        <w:t>Use stable identifiers, explicit branches, command metadata, owner routes, and measurable resolutions.</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contributor / domain-specialist</w:t>
            </w:r>
          </w:p>
        </w:tc>
        <w:tc>
          <w:tcPr>
            <w:tcW w:type="dxa" w:w="3360"/>
            <w:shd w:fill="F0F7F8"/>
            <w:tcMar>
              <w:top w:w="80" w:type="dxa"/>
              <w:start w:w="110" w:type="dxa"/>
              <w:bottom w:w="80" w:type="dxa"/>
              <w:end w:w="110" w:type="dxa"/>
            </w:tcMar>
          </w:tcPr>
          <w:p>
            <w:r>
              <w:rPr>
                <w:b/>
                <w:color w:val="00879B"/>
                <w:sz w:val="14"/>
              </w:rPr>
              <w:t>KEYWORDS</w:t>
              <w:br/>
            </w:r>
            <w:r>
              <w:rPr>
                <w:b/>
                <w:color w:val="243744"/>
                <w:sz w:val="16"/>
              </w:rPr>
              <w:t>json</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Stable anatomy</w:t>
      </w:r>
    </w:p>
    <w:p>
      <w:r>
        <w:t>A guide normally includes identity, title, description, technology domain, diagnostic area, operator phrases, scope guidance, steps, commands, owner routes, and resolution definitions. Follow the repository template and existing schema rather than inventing parallel fields.</w:t>
      </w:r>
    </w:p>
    <w:p>
      <w:pPr>
        <w:pStyle w:val="Heading2"/>
      </w:pPr>
      <w:r>
        <w:t>Step design</w:t>
      </w:r>
    </w:p>
    <w:p>
      <w:r>
        <w:t>Each step needs a stable ID, a clear evidence question, and options whose next target exists. Questions should request observable evidence. Avoid compound questions that can produce two conflicting answers.</w:t>
      </w:r>
    </w:p>
    <w:p>
      <w:pPr>
        <w:pStyle w:val="CodeBlock"/>
      </w:pPr>
      <w:r>
        <w:t>{</w:t>
        <w:br/>
        <w:t xml:space="preserve">  "id": "affected-peer-comparison",</w:t>
        <w:br/>
        <w:t xml:space="preserve">  "question": "Does the healthy peer show the same controller state?",</w:t>
        <w:br/>
        <w:t xml:space="preserve">  "options": [</w:t>
        <w:br/>
        <w:t xml:space="preserve">    { "id": "same", "label": "Same state", "next": "shared-boundary-check" },</w:t>
        <w:br/>
        <w:t xml:space="preserve">    { "id": "different", "label": "Different state", "next": "local-controller-check" },</w:t>
        <w:br/>
        <w:t xml:space="preserve">    { "id": "unknown", "label": "Not yet known", "next": "collect-peer-state" }</w:t>
        <w:br/>
        <w:t xml:space="preserve">  ]</w:t>
        <w:br/>
        <w:t>}</w:t>
      </w:r>
    </w:p>
    <w:p>
      <w:pPr>
        <w:pStyle w:val="Heading2"/>
      </w:pPr>
      <w:r>
        <w:t>Resolution design</w:t>
      </w:r>
    </w:p>
    <w:p>
      <w:r>
        <w:t>A resolution should include diagnosis, supported boundary, confidence, nextAction, safety, owner route, escalation packet, and measurable validation. Use nextAction; do not introduce an incompatible action property.</w:t>
      </w:r>
    </w:p>
    <w:p>
      <w:pPr>
        <w:pStyle w:val="Heading2"/>
      </w:pPr>
      <w:r>
        <w:t>Command metadata</w:t>
      </w:r>
    </w:p>
    <w:p>
      <w:r>
        <w:t>Document purpose, command text or reference, expected signals, required access, safety classification, stop conditions, and whether execution occurs outside OGO. Never embed secrets or destructive defaults.</w:t>
      </w:r>
    </w:p>
    <w:p>
      <w:r>
        <w:br w:type="page"/>
      </w:r>
    </w:p>
    <w:p>
      <w:pPr>
        <w:pStyle w:val="ChapterEyebrow"/>
      </w:pPr>
      <w:r>
        <w:t>CHAPTER 19  /  BUILD CONTRIBUTE</w:t>
      </w:r>
    </w:p>
    <w:p>
      <w:pPr>
        <w:pStyle w:val="Heading1"/>
      </w:pPr>
      <w:r>
        <w:t>Validation, testing, and review quality</w:t>
      </w:r>
    </w:p>
    <w:p>
      <w:pPr>
        <w:spacing w:after="280"/>
      </w:pPr>
      <w:r>
        <w:rPr>
          <w:color w:val="505F6C"/>
          <w:sz w:val="24"/>
        </w:rPr>
        <w:t>Require schema, graph, safety, language, runtime, and user-experience quality together.</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contributor / engineering-operations-leader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validation</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Required command set</w:t>
      </w:r>
    </w:p>
    <w:p>
      <w:pPr>
        <w:pStyle w:val="CodeBlock"/>
      </w:pPr>
      <w:r>
        <w:t>npm run validate:docs</w:t>
        <w:br/>
        <w:t>npm run validate:playbooks</w:t>
        <w:br/>
        <w:t>npm run typecheck</w:t>
        <w:br/>
        <w:t>npm run test</w:t>
        <w:br/>
        <w:t>npm run dev</w:t>
      </w:r>
    </w:p>
    <w:p>
      <w:r>
        <w:t>The documentation validator checks frontmatter, categories, role aliases, duplicate slugs, required content, and publication links. The playbook validator checks JSON structure, graph targets, domain isolation, question counts, and protected contracts.</w:t>
      </w:r>
    </w:p>
    <w:p>
      <w:pPr>
        <w:pStyle w:val="Heading2"/>
      </w:pPr>
      <w:r>
        <w:t>Reviewer responsibilities</w:t>
      </w:r>
    </w:p>
    <w:tbl>
      <w:tblPr>
        <w:tblW w:type="auto" w:w="0"/>
        <w:jc w:val="left"/>
        <w:tblLayout w:type="autofit"/>
        <w:tblLook w:firstColumn="1" w:firstRow="1" w:lastColumn="0" w:lastRow="0" w:noHBand="0" w:noVBand="1" w:val="04A0"/>
      </w:tblPr>
      <w:tblGrid>
        <w:gridCol w:w="5040"/>
        <w:gridCol w:w="5040"/>
      </w:tblGrid>
      <w:tr>
        <w:tc>
          <w:tcPr>
            <w:tcW w:type="dxa" w:w="5040"/>
            <w:shd w:fill="092433"/>
            <w:tcMar>
              <w:top w:w="75" w:type="dxa"/>
              <w:start w:w="90" w:type="dxa"/>
              <w:bottom w:w="75" w:type="dxa"/>
              <w:end w:w="90" w:type="dxa"/>
            </w:tcMar>
          </w:tcPr>
          <w:p>
            <w:r>
              <w:rPr>
                <w:b/>
                <w:color w:val="F0FAFC"/>
                <w:sz w:val="15"/>
              </w:rPr>
              <w:t>Reviewer</w:t>
            </w:r>
          </w:p>
        </w:tc>
        <w:tc>
          <w:tcPr>
            <w:tcW w:type="dxa" w:w="5040"/>
            <w:shd w:fill="092433"/>
            <w:tcMar>
              <w:top w:w="75" w:type="dxa"/>
              <w:start w:w="90" w:type="dxa"/>
              <w:bottom w:w="75" w:type="dxa"/>
              <w:end w:w="90" w:type="dxa"/>
            </w:tcMar>
          </w:tcPr>
          <w:p>
            <w:r>
              <w:rPr>
                <w:b/>
                <w:color w:val="F0FAFC"/>
                <w:sz w:val="15"/>
              </w:rPr>
              <w:t>Primary focus</w:t>
            </w:r>
          </w:p>
        </w:tc>
      </w:tr>
      <w:tr>
        <w:tc>
          <w:tcPr>
            <w:tcW w:type="dxa" w:w="5040"/>
            <w:tcMar>
              <w:top w:w="70" w:type="dxa"/>
              <w:start w:w="90" w:type="dxa"/>
              <w:bottom w:w="70" w:type="dxa"/>
              <w:end w:w="90" w:type="dxa"/>
            </w:tcMar>
          </w:tcPr>
          <w:p>
            <w:r>
              <w:rPr>
                <w:color w:val="2D3D4A"/>
                <w:sz w:val="16"/>
              </w:rPr>
              <w:t>Domain reviewer</w:t>
            </w:r>
          </w:p>
        </w:tc>
        <w:tc>
          <w:tcPr>
            <w:tcW w:type="dxa" w:w="5040"/>
            <w:tcMar>
              <w:top w:w="70" w:type="dxa"/>
              <w:start w:w="90" w:type="dxa"/>
              <w:bottom w:w="70" w:type="dxa"/>
              <w:end w:w="90" w:type="dxa"/>
            </w:tcMar>
          </w:tcPr>
          <w:p>
            <w:r>
              <w:rPr>
                <w:color w:val="2D3D4A"/>
                <w:sz w:val="16"/>
              </w:rPr>
              <w:t>Technical accuracy, evidence logic, expected signals</w:t>
            </w:r>
          </w:p>
        </w:tc>
      </w:tr>
      <w:tr>
        <w:tc>
          <w:tcPr>
            <w:tcW w:type="dxa" w:w="5040"/>
            <w:shd w:fill="F6F8FA"/>
            <w:tcMar>
              <w:top w:w="70" w:type="dxa"/>
              <w:start w:w="90" w:type="dxa"/>
              <w:bottom w:w="70" w:type="dxa"/>
              <w:end w:w="90" w:type="dxa"/>
            </w:tcMar>
          </w:tcPr>
          <w:p>
            <w:r>
              <w:rPr>
                <w:color w:val="2D3D4A"/>
                <w:sz w:val="16"/>
              </w:rPr>
              <w:t>Safety reviewer</w:t>
            </w:r>
          </w:p>
        </w:tc>
        <w:tc>
          <w:tcPr>
            <w:tcW w:type="dxa" w:w="5040"/>
            <w:shd w:fill="F6F8FA"/>
            <w:tcMar>
              <w:top w:w="70" w:type="dxa"/>
              <w:start w:w="90" w:type="dxa"/>
              <w:bottom w:w="70" w:type="dxa"/>
              <w:end w:w="90" w:type="dxa"/>
            </w:tcMar>
          </w:tcPr>
          <w:p>
            <w:r>
              <w:rPr>
                <w:color w:val="2D3D4A"/>
                <w:sz w:val="16"/>
              </w:rPr>
              <w:t>Access, controlled change, stop conditions, preservation</w:t>
            </w:r>
          </w:p>
        </w:tc>
      </w:tr>
      <w:tr>
        <w:tc>
          <w:tcPr>
            <w:tcW w:type="dxa" w:w="5040"/>
            <w:tcMar>
              <w:top w:w="70" w:type="dxa"/>
              <w:start w:w="90" w:type="dxa"/>
              <w:bottom w:w="70" w:type="dxa"/>
              <w:end w:w="90" w:type="dxa"/>
            </w:tcMar>
          </w:tcPr>
          <w:p>
            <w:r>
              <w:rPr>
                <w:color w:val="2D3D4A"/>
                <w:sz w:val="16"/>
              </w:rPr>
              <w:t>Documentation reviewer</w:t>
            </w:r>
          </w:p>
        </w:tc>
        <w:tc>
          <w:tcPr>
            <w:tcW w:type="dxa" w:w="5040"/>
            <w:tcMar>
              <w:top w:w="70" w:type="dxa"/>
              <w:start w:w="90" w:type="dxa"/>
              <w:bottom w:w="70" w:type="dxa"/>
              <w:end w:w="90" w:type="dxa"/>
            </w:tcMar>
          </w:tcPr>
          <w:p>
            <w:r>
              <w:rPr>
                <w:color w:val="2D3D4A"/>
                <w:sz w:val="16"/>
              </w:rPr>
              <w:t>Clarity, consistency, vendor-neutral language</w:t>
            </w:r>
          </w:p>
        </w:tc>
      </w:tr>
      <w:tr>
        <w:tc>
          <w:tcPr>
            <w:tcW w:type="dxa" w:w="5040"/>
            <w:shd w:fill="F6F8FA"/>
            <w:tcMar>
              <w:top w:w="70" w:type="dxa"/>
              <w:start w:w="90" w:type="dxa"/>
              <w:bottom w:w="70" w:type="dxa"/>
              <w:end w:w="90" w:type="dxa"/>
            </w:tcMar>
          </w:tcPr>
          <w:p>
            <w:r>
              <w:rPr>
                <w:color w:val="2D3D4A"/>
                <w:sz w:val="16"/>
              </w:rPr>
              <w:t>QA reviewer</w:t>
            </w:r>
          </w:p>
        </w:tc>
        <w:tc>
          <w:tcPr>
            <w:tcW w:type="dxa" w:w="5040"/>
            <w:shd w:fill="F6F8FA"/>
            <w:tcMar>
              <w:top w:w="70" w:type="dxa"/>
              <w:start w:w="90" w:type="dxa"/>
              <w:bottom w:w="70" w:type="dxa"/>
              <w:end w:w="90" w:type="dxa"/>
            </w:tcMar>
          </w:tcPr>
          <w:p>
            <w:r>
              <w:rPr>
                <w:color w:val="2D3D4A"/>
                <w:sz w:val="16"/>
              </w:rPr>
              <w:t>Schema, graph, tests, routes, responsive behavior</w:t>
            </w:r>
          </w:p>
        </w:tc>
      </w:tr>
      <w:tr>
        <w:tc>
          <w:tcPr>
            <w:tcW w:type="dxa" w:w="5040"/>
            <w:tcMar>
              <w:top w:w="70" w:type="dxa"/>
              <w:start w:w="90" w:type="dxa"/>
              <w:bottom w:w="70" w:type="dxa"/>
              <w:end w:w="90" w:type="dxa"/>
            </w:tcMar>
          </w:tcPr>
          <w:p>
            <w:r>
              <w:rPr>
                <w:color w:val="2D3D4A"/>
                <w:sz w:val="16"/>
              </w:rPr>
              <w:t>Maintainer</w:t>
            </w:r>
          </w:p>
        </w:tc>
        <w:tc>
          <w:tcPr>
            <w:tcW w:type="dxa" w:w="5040"/>
            <w:tcMar>
              <w:top w:w="70" w:type="dxa"/>
              <w:start w:w="90" w:type="dxa"/>
              <w:bottom w:w="70" w:type="dxa"/>
              <w:end w:w="90" w:type="dxa"/>
            </w:tcMar>
          </w:tcPr>
          <w:p>
            <w:r>
              <w:rPr>
                <w:color w:val="2D3D4A"/>
                <w:sz w:val="16"/>
              </w:rPr>
              <w:t>Project fit, release quality, attribution, merge decision</w:t>
            </w:r>
          </w:p>
        </w:tc>
      </w:tr>
    </w:tbl>
    <w:p>
      <w:pPr>
        <w:pStyle w:val="Heading2"/>
      </w:pPr>
      <w:r>
        <w:t>Knowledge-base test</w:t>
      </w:r>
    </w:p>
    <w:p>
      <w:r>
        <w:t>A qualified operator who did not write the guide should be able to explain the current evidence state, next owner, safety gate, and validation without contacting the author.</w:t>
      </w:r>
    </w:p>
    <w:p>
      <w:pPr>
        <w:pStyle w:val="Heading2"/>
      </w:pPr>
      <w:r>
        <w:t>Regression policy</w:t>
      </w:r>
    </w:p>
    <w:p>
      <w:r>
        <w:t>Tests should protect behaviors and contracts, not obsolete marketing copy. A wording update should not break the suite when the same intake, isolation, or safety behavior remains present. Exact strings are appropriate only for protected names, API fields, or safety statements that must not drift.</w:t>
      </w:r>
    </w:p>
    <w:p>
      <w:r>
        <w:br w:type="page"/>
      </w:r>
    </w:p>
    <w:p>
      <w:pPr>
        <w:pStyle w:val="ChapterEyebrow"/>
      </w:pPr>
      <w:r>
        <w:t>CHAPTER 20  /  BUILD CONTRIBUTE</w:t>
      </w:r>
    </w:p>
    <w:p>
      <w:pPr>
        <w:pStyle w:val="Heading1"/>
      </w:pPr>
      <w:r>
        <w:t>Adoption and governance</w:t>
      </w:r>
    </w:p>
    <w:p>
      <w:pPr>
        <w:spacing w:after="280"/>
      </w:pPr>
      <w:r>
        <w:rPr>
          <w:color w:val="505F6C"/>
          <w:sz w:val="24"/>
        </w:rPr>
        <w:t>Introduce OGO through controlled practice, review ownership, release discipline, and measurable operating outcomes.</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engineering-operations-leader / incident-program-leader / contributor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adoption</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Start with a bounded pilot</w:t>
      </w:r>
    </w:p>
    <w:p>
      <w:r>
        <w:t>Choose a small set of repeatable incidents and a cross-functional group that already works together. Run tabletop scenarios before production use. Measure whether teams reach a clearer boundary, reduce duplicate evidence requests, and produce stronger handoffs.</w:t>
      </w:r>
    </w:p>
    <w:p>
      <w:pPr>
        <w:pStyle w:val="Heading2"/>
      </w:pPr>
      <w:r>
        <w:t>Define ownership</w:t>
      </w:r>
    </w:p>
    <w:p>
      <w:r>
        <w:t>Assign maintainers for guide review, safety review, release approval, and publication updates. Define who can merge guides, who can change protected contracts, and how deprecated guides are handled.</w:t>
      </w:r>
    </w:p>
    <w:p>
      <w:pPr>
        <w:pStyle w:val="Heading2"/>
      </w:pPr>
      <w:r>
        <w:t>Version the knowledge base</w:t>
      </w:r>
    </w:p>
    <w:p>
      <w:r>
        <w:t>Treat guide and documentation changes as product releases. Record version, date, changed behavior, migration notes, and validation status. The hosted documentation should update with the repository, while downloadable publications show their edition clearly.</w:t>
      </w:r>
    </w:p>
    <w:p>
      <w:pPr>
        <w:pStyle w:val="Heading2"/>
      </w:pPr>
      <w:r>
        <w:t>Measure useful outcomes</w:t>
      </w:r>
    </w:p>
    <w:p>
      <w:r>
        <w:t>Useful adoption measures include time to first bounded hypothesis, repeated evidence requests avoided, unowned checkpoints, escalation acceptance, controlled-change completeness, return-to-service proof quality, and guide improvements submitted after incidents.</w:t>
      </w:r>
    </w:p>
    <w:p>
      <w:pPr>
        <w:pStyle w:val="Heading2"/>
      </w:pPr>
      <w:r>
        <w:t>Avoid vanity adoption</w:t>
      </w:r>
    </w:p>
    <w:p>
      <w:r>
        <w:t>Page views and guide counts do not prove operating value. A large catalog with weak paths creates false confidence. Prefer fewer guides with clear evidence, ownership, safety, and validation.</w:t>
      </w:r>
    </w:p>
    <w:p>
      <w:r>
        <w:br w:type="page"/>
      </w:r>
    </w:p>
    <w:p>
      <w:pPr>
        <w:pStyle w:val="ChapterEyebrow"/>
      </w:pPr>
      <w:r>
        <w:t>CHAPTER 21  /  BUILD CONTRIBUTE</w:t>
      </w:r>
    </w:p>
    <w:p>
      <w:pPr>
        <w:pStyle w:val="Heading1"/>
      </w:pPr>
      <w:r>
        <w:t>Workshop and tabletop facilitation</w:t>
      </w:r>
    </w:p>
    <w:p>
      <w:pPr>
        <w:spacing w:after="280"/>
      </w:pPr>
      <w:r>
        <w:rPr>
          <w:color w:val="505F6C"/>
          <w:sz w:val="24"/>
        </w:rPr>
        <w:t>Run a structured team exercise that teaches evidence discipline, owner routing, safety, and closure.</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incident-program-leader / technical-account-manager / contributor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workshop</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Recommended 60-minute format</w:t>
      </w:r>
    </w:p>
    <w:p>
      <w:pPr>
        <w:pStyle w:val="ListNumber"/>
      </w:pPr>
      <w:r>
        <w:t>Five minutes: explain the product boundary and scenario.</w:t>
      </w:r>
    </w:p>
    <w:p>
      <w:pPr>
        <w:pStyle w:val="ListNumber"/>
      </w:pPr>
      <w:r>
        <w:t>Ten minutes: capture reported pain, impact, scope, and prohibited outcomes.</w:t>
      </w:r>
    </w:p>
    <w:p>
      <w:pPr>
        <w:pStyle w:val="ListNumber"/>
      </w:pPr>
      <w:r>
        <w:t>Twenty minutes: run evidence gates and use the expanded tunnel.</w:t>
      </w:r>
    </w:p>
    <w:p>
      <w:pPr>
        <w:pStyle w:val="ListNumber"/>
      </w:pPr>
      <w:r>
        <w:t>Ten minutes: assign owners, authorize or reject a controlled move, and define validation.</w:t>
      </w:r>
    </w:p>
    <w:p>
      <w:pPr>
        <w:pStyle w:val="ListNumber"/>
      </w:pPr>
      <w:r>
        <w:t>Ten minutes: produce a dossier and customer-safe update.</w:t>
      </w:r>
    </w:p>
    <w:p>
      <w:pPr>
        <w:pStyle w:val="ListNumber"/>
      </w:pPr>
      <w:r>
        <w:t>Five minutes: debrief the operating behavior.</w:t>
      </w:r>
    </w:p>
    <w:p>
      <w:pPr>
        <w:pStyle w:val="Heading2"/>
      </w:pPr>
      <w:r>
        <w:t>Participant roles</w:t>
      </w:r>
    </w:p>
    <w:p>
      <w:r>
        <w:t>Assign an operator, customer or service lead, technical owner, safety or change approver, specialist, and observer. The observer tracks guessing, duplicate evidence, unowned work, unclear commands, and premature closure.</w:t>
      </w:r>
    </w:p>
    <w:p>
      <w:pPr>
        <w:pStyle w:val="Heading2"/>
      </w:pPr>
      <w:r>
        <w:t>Facilitator prompts</w:t>
      </w:r>
    </w:p>
    <w:p>
      <w:r>
        <w:t>Ask: What changed in the evidence state? Which boundary was eliminated? Who owns the next answer? What must be true before change? What proves recovery? Do not rescue the team with the answer; keep them inside the operating process.</w:t>
      </w:r>
    </w:p>
    <w:p>
      <w:pPr>
        <w:pStyle w:val="Heading2"/>
      </w:pPr>
      <w:r>
        <w:t>Debrief</w:t>
      </w:r>
    </w:p>
    <w:p>
      <w:r>
        <w:t>Review where the team confused observation with conclusion, where role boundaries helped or hindered, whether the dossier could stand alone, and which guide wording should improve. Capture changes as repository issues or pull requests.</w:t>
      </w:r>
    </w:p>
    <w:p>
      <w:r>
        <w:br w:type="page"/>
      </w:r>
    </w:p>
    <w:p>
      <w:pPr>
        <w:pStyle w:val="ChapterEyebrow"/>
      </w:pPr>
      <w:r>
        <w:t>CHAPTER 22  /  START HERE</w:t>
      </w:r>
    </w:p>
    <w:p>
      <w:pPr>
        <w:pStyle w:val="Heading1"/>
      </w:pPr>
      <w:r>
        <w:t>FAQ and glossary</w:t>
      </w:r>
    </w:p>
    <w:p>
      <w:pPr>
        <w:spacing w:after="280"/>
      </w:pPr>
      <w:r>
        <w:rPr>
          <w:color w:val="505F6C"/>
          <w:sz w:val="24"/>
        </w:rPr>
        <w:t>Resolve common questions and align the language used across guides, incidents, and publications.</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everyone</w:t>
            </w:r>
          </w:p>
        </w:tc>
        <w:tc>
          <w:tcPr>
            <w:tcW w:type="dxa" w:w="3360"/>
            <w:shd w:fill="F0F7F8"/>
            <w:tcMar>
              <w:top w:w="80" w:type="dxa"/>
              <w:start w:w="110" w:type="dxa"/>
              <w:bottom w:w="80" w:type="dxa"/>
              <w:end w:w="110" w:type="dxa"/>
            </w:tcMar>
          </w:tcPr>
          <w:p>
            <w:r>
              <w:rPr>
                <w:b/>
                <w:color w:val="00879B"/>
                <w:sz w:val="14"/>
              </w:rPr>
              <w:t>KEYWORDS</w:t>
              <w:br/>
            </w:r>
            <w:r>
              <w:rPr>
                <w:b/>
                <w:color w:val="243744"/>
                <w:sz w:val="16"/>
              </w:rPr>
              <w:t>faq</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Frequently asked questions</w:t>
      </w:r>
    </w:p>
    <w:p>
      <w:pPr>
        <w:pStyle w:val="Heading3"/>
      </w:pPr>
      <w:r>
        <w:t>Does OGO run commands?</w:t>
      </w:r>
    </w:p>
    <w:p>
      <w:r>
        <w:t>The guide can reference and explain approved commands. Execution remains external and human-authorized unless a future explicitly controlled integration says otherwise. The record distinguishes reference, execution, captured result, and controlled change.</w:t>
      </w:r>
    </w:p>
    <w:p>
      <w:pPr>
        <w:pStyle w:val="Heading3"/>
      </w:pPr>
      <w:r>
        <w:t>Is AI required?</w:t>
      </w:r>
    </w:p>
    <w:p>
      <w:r>
        <w:t>No. The deterministic simulator and local guide path work without AI. Optional AI output does not become proof unless an operator verifies and commits supporting evidence.</w:t>
      </w:r>
    </w:p>
    <w:p>
      <w:pPr>
        <w:pStyle w:val="Heading3"/>
      </w:pPr>
      <w:r>
        <w:t>Is a fault boundary the same as root cause?</w:t>
      </w:r>
    </w:p>
    <w:p>
      <w:r>
        <w:t>No. A boundary is the smallest supported area where the evidence places the problem. Root cause may require additional engineering, reproduction, or vendor analysis.</w:t>
      </w:r>
    </w:p>
    <w:p>
      <w:pPr>
        <w:pStyle w:val="Heading3"/>
      </w:pPr>
      <w:r>
        <w:t>Why keep PDF and DOCX files?</w:t>
      </w:r>
    </w:p>
    <w:p>
      <w:r>
        <w:t>They provide fixed offline editions for workshops, review, records, and users who cannot access the hosted site. The hosted documentation remains the current searchable source.</w:t>
      </w:r>
    </w:p>
    <w:p>
      <w:pPr>
        <w:pStyle w:val="Heading2"/>
      </w:pPr>
      <w:r>
        <w:t>Glossary</w:t>
      </w:r>
    </w:p>
    <w:p>
      <w:r>
        <w:t>Evidence gate: A question whose supported answer changes the route. Committed evidence: An observation the operator has accepted into the incident path. Candidate boundary: A technical or ownership area still supported by current evidence. Owner route: The person or team responsible for the next evidence, decision, action, or validation. Safety gate: Conditions that must be satisfied before a controlled action. Exit proof: Measurable evidence that the original impact has recovered. Dossier: A stable decision-ready incident and escalation record. Healthy peer: A comparable unaffected path, asset, site, service, or workload used to narrow differences.</w:t>
      </w:r>
    </w:p>
    <w:p>
      <w:r>
        <w:br w:type="page"/>
      </w:r>
    </w:p>
    <w:p>
      <w:pPr>
        <w:pStyle w:val="ChapterEyebrow"/>
      </w:pPr>
      <w:r>
        <w:t>CHAPTER 23  /  PUBLICATIONS</w:t>
      </w:r>
    </w:p>
    <w:p>
      <w:pPr>
        <w:pStyle w:val="Heading1"/>
      </w:pPr>
      <w:r>
        <w:t>Offline publication library</w:t>
      </w:r>
    </w:p>
    <w:p>
      <w:pPr>
        <w:spacing w:after="280"/>
      </w:pPr>
      <w:r>
        <w:rPr>
          <w:color w:val="505F6C"/>
          <w:sz w:val="24"/>
        </w:rPr>
        <w:t>Download versioned field editions and understand which operating need each publication serves.</w:t>
      </w:r>
    </w:p>
    <w:tbl>
      <w:tblPr>
        <w:tblW w:type="auto" w:w="0"/>
        <w:jc w:val="left"/>
        <w:tblLook w:firstColumn="1" w:firstRow="1" w:lastColumn="0" w:lastRow="0" w:noHBand="0" w:noVBand="1" w:val="04A0"/>
      </w:tblPr>
      <w:tblGrid>
        <w:gridCol w:w="3360"/>
        <w:gridCol w:w="3360"/>
        <w:gridCol w:w="3360"/>
      </w:tblGrid>
      <w:tr>
        <w:tc>
          <w:tcPr>
            <w:tcW w:type="dxa" w:w="3360"/>
            <w:shd w:fill="F0F7F8"/>
            <w:tcMar>
              <w:top w:w="80" w:type="dxa"/>
              <w:start w:w="110" w:type="dxa"/>
              <w:bottom w:w="80" w:type="dxa"/>
              <w:end w:w="110" w:type="dxa"/>
            </w:tcMar>
          </w:tcPr>
          <w:p>
            <w:r>
              <w:rPr>
                <w:b/>
                <w:color w:val="00879B"/>
                <w:sz w:val="14"/>
              </w:rPr>
              <w:t>ROLE PATHS</w:t>
              <w:br/>
            </w:r>
            <w:r>
              <w:rPr>
                <w:b/>
                <w:color w:val="243744"/>
                <w:sz w:val="16"/>
              </w:rPr>
              <w:t>everyone / contributor</w:t>
            </w:r>
          </w:p>
        </w:tc>
        <w:tc>
          <w:tcPr>
            <w:tcW w:type="dxa" w:w="3360"/>
            <w:shd w:fill="F0F7F8"/>
            <w:tcMar>
              <w:top w:w="80" w:type="dxa"/>
              <w:start w:w="110" w:type="dxa"/>
              <w:bottom w:w="80" w:type="dxa"/>
              <w:end w:w="110" w:type="dxa"/>
            </w:tcMar>
          </w:tcPr>
          <w:p>
            <w:r>
              <w:rPr>
                <w:b/>
                <w:color w:val="00879B"/>
                <w:sz w:val="14"/>
              </w:rPr>
              <w:t>KEYWORDS</w:t>
              <w:br/>
            </w:r>
            <w:r>
              <w:rPr>
                <w:b/>
                <w:color w:val="243744"/>
                <w:sz w:val="16"/>
              </w:rPr>
              <w:t>pdf</w:t>
            </w:r>
          </w:p>
        </w:tc>
        <w:tc>
          <w:tcPr>
            <w:tcW w:type="dxa" w:w="3360"/>
            <w:shd w:fill="F0F7F8"/>
            <w:tcMar>
              <w:top w:w="80" w:type="dxa"/>
              <w:start w:w="110" w:type="dxa"/>
              <w:bottom w:w="80" w:type="dxa"/>
              <w:end w:w="110" w:type="dxa"/>
            </w:tcMar>
          </w:tcPr>
          <w:p>
            <w:r>
              <w:rPr>
                <w:b/>
                <w:color w:val="00879B"/>
                <w:sz w:val="14"/>
              </w:rPr>
              <w:t>UPDATED</w:t>
              <w:br/>
            </w:r>
            <w:r>
              <w:rPr>
                <w:b/>
                <w:color w:val="243744"/>
                <w:sz w:val="16"/>
              </w:rPr>
              <w:t>2026-07-24</w:t>
            </w:r>
          </w:p>
        </w:tc>
      </w:tr>
    </w:tbl>
    <w:p/>
    <w:p>
      <w:pPr>
        <w:pStyle w:val="Heading2"/>
      </w:pPr>
      <w:r>
        <w:t>Current publication</w:t>
      </w:r>
    </w:p>
    <w:p>
      <w:r>
        <w:t>The OGO User and Team Operating Playbook Documentation Edition is available as PDF and editable DOCX. It mirrors the hosted chapter structure and carries an edition date. Use it for offline reading, facilitated workshops, formal review, and controlled distribution.</w:t>
      </w:r>
    </w:p>
    <w:p>
      <w:pPr>
        <w:pStyle w:val="ListBullet"/>
      </w:pPr>
      <w:r>
        <w:t>Download the PDF</w:t>
      </w:r>
    </w:p>
    <w:p>
      <w:pPr>
        <w:pStyle w:val="ListBullet"/>
      </w:pPr>
      <w:r>
        <w:t>Download the editable DOCX</w:t>
      </w:r>
    </w:p>
    <w:p>
      <w:pPr>
        <w:pStyle w:val="Heading2"/>
      </w:pPr>
      <w:r>
        <w:t>Recommended future publications</w:t>
      </w:r>
    </w:p>
    <w:p>
      <w:r>
        <w:t>Quick Start Field Manual: Installation, first incident, evidence gates, tunnel use, dossier export, and common mistakes in approximately ten pages.</w:t>
      </w:r>
    </w:p>
    <w:p>
      <w:r>
        <w:t>Role Field Cards: One or two pages per role showing responsibilities, evidence owned, decisions authorized, handoff expectations, and required outputs.</w:t>
      </w:r>
    </w:p>
    <w:p>
      <w:r>
        <w:t>Security, Privacy, and BYOK Trust Brief: Local-first behavior, optional AI boundaries, per-session key handling, hosted policy, safe logs, and prohibited logs.</w:t>
      </w:r>
    </w:p>
    <w:p>
      <w:r>
        <w:t>Incident Scenario Atlas: Visual scenarios for HPC, AI infrastructure, cloud, networking, storage, and data-center operations.</w:t>
      </w:r>
    </w:p>
    <w:p>
      <w:r>
        <w:t>Guide Authoring and Validation Handbook: JSON anatomy, branch logic, command metadata, safety labels, owner routes, review gates, and release checks.</w:t>
      </w:r>
    </w:p>
    <w:p>
      <w:r>
        <w:t>Workshop Facilitator Kit: Agenda, roles, prompts, observation sheet, debrief questions, and scoring rubric.</w:t>
      </w:r>
    </w:p>
    <w:p>
      <w:pPr>
        <w:pStyle w:val="Heading2"/>
      </w:pPr>
      <w:r>
        <w:t>Publication rule</w:t>
      </w:r>
    </w:p>
    <w:p>
      <w:r>
        <w:t>A publication is a versioned snapshot, not a second knowledge base. Corrections should land in repository Markdown and the hosted site first, then appear in the next offline edition.</w:t>
      </w:r>
    </w:p>
    <w:p>
      <w:pPr>
        <w:sectPr>
          <w:headerReference w:type="default" r:id="rId9"/>
          <w:footerReference w:type="default" r:id="rId10"/>
          <w:pgSz w:w="12240" w:h="15840"/>
          <w:pgMar w:top="1008" w:right="1080" w:bottom="936" w:left="1080" w:header="432" w:footer="432" w:gutter="0"/>
          <w:cols w:space="720"/>
          <w:docGrid w:linePitch="360"/>
        </w:sectPr>
      </w:pPr>
    </w:p>
    <w:p>
      <w:pPr>
        <w:pStyle w:val="Heading1"/>
      </w:pPr>
      <w:r>
        <w:t>One-page operating reference</w:t>
      </w:r>
    </w:p>
    <w:tbl>
      <w:tblPr>
        <w:tblW w:type="auto" w:w="0"/>
        <w:jc w:val="left"/>
        <w:tblLayout w:type="fixed"/>
        <w:tblLook w:firstColumn="1" w:firstRow="1" w:lastColumn="0" w:lastRow="0" w:noHBand="0" w:noVBand="1" w:val="04A0"/>
      </w:tblPr>
      <w:tblGrid>
        <w:gridCol w:w="5040"/>
        <w:gridCol w:w="5040"/>
      </w:tblGrid>
      <w:tr>
        <w:tc>
          <w:tcPr>
            <w:tcW w:type="dxa" w:w="2376"/>
            <w:shd w:fill="092433"/>
            <w:tcMar>
              <w:top w:w="120" w:type="dxa"/>
              <w:start w:w="120" w:type="dxa"/>
              <w:bottom w:w="120" w:type="dxa"/>
              <w:end w:w="120" w:type="dxa"/>
            </w:tcMar>
          </w:tcPr>
          <w:p>
            <w:r>
              <w:rPr>
                <w:b/>
                <w:color w:val="EBFAFC"/>
                <w:sz w:val="16"/>
              </w:rPr>
              <w:t>1. REPORTED PAIN</w:t>
            </w:r>
          </w:p>
        </w:tc>
        <w:tc>
          <w:tcPr>
            <w:tcW w:type="dxa" w:w="7344"/>
            <w:tcMar>
              <w:top w:w="120" w:type="dxa"/>
              <w:start w:w="140" w:type="dxa"/>
              <w:bottom w:w="120" w:type="dxa"/>
              <w:end w:w="140" w:type="dxa"/>
            </w:tcMar>
          </w:tcPr>
          <w:p>
            <w:r>
              <w:rPr>
                <w:color w:val="2D3D4A"/>
                <w:sz w:val="18"/>
              </w:rPr>
              <w:t>Impact, scope, time, correlated change, existing proof, prohibited outcome.</w:t>
            </w:r>
          </w:p>
        </w:tc>
      </w:tr>
      <w:tr>
        <w:tc>
          <w:tcPr>
            <w:tcW w:type="dxa" w:w="2376"/>
            <w:shd w:fill="092433"/>
            <w:tcMar>
              <w:top w:w="120" w:type="dxa"/>
              <w:start w:w="120" w:type="dxa"/>
              <w:bottom w:w="120" w:type="dxa"/>
              <w:end w:w="120" w:type="dxa"/>
            </w:tcMar>
          </w:tcPr>
          <w:p>
            <w:r>
              <w:rPr>
                <w:b/>
                <w:color w:val="EBFAFC"/>
                <w:sz w:val="16"/>
              </w:rPr>
              <w:t>2. COMMITTED EVIDENCE</w:t>
            </w:r>
          </w:p>
        </w:tc>
        <w:tc>
          <w:tcPr>
            <w:tcW w:type="dxa" w:w="7344"/>
            <w:tcMar>
              <w:top w:w="120" w:type="dxa"/>
              <w:start w:w="140" w:type="dxa"/>
              <w:bottom w:w="120" w:type="dxa"/>
              <w:end w:w="140" w:type="dxa"/>
            </w:tcMar>
          </w:tcPr>
          <w:p>
            <w:r>
              <w:rPr>
                <w:color w:val="2D3D4A"/>
                <w:sz w:val="18"/>
              </w:rPr>
              <w:t>Observable, attributable, scoped, timed, and connected to a decision.</w:t>
            </w:r>
          </w:p>
        </w:tc>
      </w:tr>
      <w:tr>
        <w:tc>
          <w:tcPr>
            <w:tcW w:type="dxa" w:w="2376"/>
            <w:shd w:fill="092433"/>
            <w:tcMar>
              <w:top w:w="120" w:type="dxa"/>
              <w:start w:w="120" w:type="dxa"/>
              <w:bottom w:w="120" w:type="dxa"/>
              <w:end w:w="120" w:type="dxa"/>
            </w:tcMar>
          </w:tcPr>
          <w:p>
            <w:r>
              <w:rPr>
                <w:b/>
                <w:color w:val="EBFAFC"/>
                <w:sz w:val="16"/>
              </w:rPr>
              <w:t>3. CURRENT GATE</w:t>
            </w:r>
          </w:p>
        </w:tc>
        <w:tc>
          <w:tcPr>
            <w:tcW w:type="dxa" w:w="7344"/>
            <w:tcMar>
              <w:top w:w="120" w:type="dxa"/>
              <w:start w:w="140" w:type="dxa"/>
              <w:bottom w:w="120" w:type="dxa"/>
              <w:end w:w="140" w:type="dxa"/>
            </w:tcMar>
          </w:tcPr>
          <w:p>
            <w:r>
              <w:rPr>
                <w:color w:val="2D3D4A"/>
                <w:sz w:val="18"/>
              </w:rPr>
              <w:t>One question whose answer changes the route.</w:t>
            </w:r>
          </w:p>
        </w:tc>
      </w:tr>
      <w:tr>
        <w:tc>
          <w:tcPr>
            <w:tcW w:type="dxa" w:w="2376"/>
            <w:shd w:fill="092433"/>
            <w:tcMar>
              <w:top w:w="120" w:type="dxa"/>
              <w:start w:w="120" w:type="dxa"/>
              <w:bottom w:w="120" w:type="dxa"/>
              <w:end w:w="120" w:type="dxa"/>
            </w:tcMar>
          </w:tcPr>
          <w:p>
            <w:r>
              <w:rPr>
                <w:b/>
                <w:color w:val="EBFAFC"/>
                <w:sz w:val="16"/>
              </w:rPr>
              <w:t>4. BOUNDARY</w:t>
            </w:r>
          </w:p>
        </w:tc>
        <w:tc>
          <w:tcPr>
            <w:tcW w:type="dxa" w:w="7344"/>
            <w:tcMar>
              <w:top w:w="120" w:type="dxa"/>
              <w:start w:w="140" w:type="dxa"/>
              <w:bottom w:w="120" w:type="dxa"/>
              <w:end w:w="140" w:type="dxa"/>
            </w:tcMar>
          </w:tcPr>
          <w:p>
            <w:r>
              <w:rPr>
                <w:color w:val="2D3D4A"/>
                <w:sz w:val="18"/>
              </w:rPr>
              <w:t>Supported area, eliminated alternatives, confidence, and remaining uncertainty.</w:t>
            </w:r>
          </w:p>
        </w:tc>
      </w:tr>
      <w:tr>
        <w:tc>
          <w:tcPr>
            <w:tcW w:type="dxa" w:w="2376"/>
            <w:shd w:fill="092433"/>
            <w:tcMar>
              <w:top w:w="120" w:type="dxa"/>
              <w:start w:w="120" w:type="dxa"/>
              <w:bottom w:w="120" w:type="dxa"/>
              <w:end w:w="120" w:type="dxa"/>
            </w:tcMar>
          </w:tcPr>
          <w:p>
            <w:r>
              <w:rPr>
                <w:b/>
                <w:color w:val="EBFAFC"/>
                <w:sz w:val="16"/>
              </w:rPr>
              <w:t>5. OWNER ROUTE</w:t>
            </w:r>
          </w:p>
        </w:tc>
        <w:tc>
          <w:tcPr>
            <w:tcW w:type="dxa" w:w="7344"/>
            <w:tcMar>
              <w:top w:w="120" w:type="dxa"/>
              <w:start w:w="140" w:type="dxa"/>
              <w:bottom w:w="120" w:type="dxa"/>
              <w:end w:w="140" w:type="dxa"/>
            </w:tcMar>
          </w:tcPr>
          <w:p>
            <w:r>
              <w:rPr>
                <w:color w:val="2D3D4A"/>
                <w:sz w:val="18"/>
              </w:rPr>
              <w:t>Named owner for evidence, decision, action, escalation, and validation.</w:t>
            </w:r>
          </w:p>
        </w:tc>
      </w:tr>
      <w:tr>
        <w:tc>
          <w:tcPr>
            <w:tcW w:type="dxa" w:w="2376"/>
            <w:shd w:fill="092433"/>
            <w:tcMar>
              <w:top w:w="120" w:type="dxa"/>
              <w:start w:w="120" w:type="dxa"/>
              <w:bottom w:w="120" w:type="dxa"/>
              <w:end w:w="120" w:type="dxa"/>
            </w:tcMar>
          </w:tcPr>
          <w:p>
            <w:r>
              <w:rPr>
                <w:b/>
                <w:color w:val="EBFAFC"/>
                <w:sz w:val="16"/>
              </w:rPr>
              <w:t>6. SAFETY GATE</w:t>
            </w:r>
          </w:p>
        </w:tc>
        <w:tc>
          <w:tcPr>
            <w:tcW w:type="dxa" w:w="7344"/>
            <w:tcMar>
              <w:top w:w="120" w:type="dxa"/>
              <w:start w:w="140" w:type="dxa"/>
              <w:bottom w:w="120" w:type="dxa"/>
              <w:end w:w="140" w:type="dxa"/>
            </w:tcMar>
          </w:tcPr>
          <w:p>
            <w:r>
              <w:rPr>
                <w:color w:val="2D3D4A"/>
                <w:sz w:val="18"/>
              </w:rPr>
              <w:t>Authorization, target, blast radius, rollback, monitoring, stop conditions.</w:t>
            </w:r>
          </w:p>
        </w:tc>
      </w:tr>
      <w:tr>
        <w:tc>
          <w:tcPr>
            <w:tcW w:type="dxa" w:w="2376"/>
            <w:shd w:fill="092433"/>
            <w:tcMar>
              <w:top w:w="120" w:type="dxa"/>
              <w:start w:w="120" w:type="dxa"/>
              <w:bottom w:w="120" w:type="dxa"/>
              <w:end w:w="120" w:type="dxa"/>
            </w:tcMar>
          </w:tcPr>
          <w:p>
            <w:r>
              <w:rPr>
                <w:b/>
                <w:color w:val="EBFAFC"/>
                <w:sz w:val="16"/>
              </w:rPr>
              <w:t>7. EXIT PROOF</w:t>
            </w:r>
          </w:p>
        </w:tc>
        <w:tc>
          <w:tcPr>
            <w:tcW w:type="dxa" w:w="7344"/>
            <w:tcMar>
              <w:top w:w="120" w:type="dxa"/>
              <w:start w:w="140" w:type="dxa"/>
              <w:bottom w:w="120" w:type="dxa"/>
              <w:end w:w="140" w:type="dxa"/>
            </w:tcMar>
          </w:tcPr>
          <w:p>
            <w:r>
              <w:rPr>
                <w:color w:val="2D3D4A"/>
                <w:sz w:val="18"/>
              </w:rPr>
              <w:t>Original impact recovered, healthy comparison, observation window, residual risk.</w:t>
            </w:r>
          </w:p>
        </w:tc>
      </w:tr>
    </w:tbl>
    <w:p>
      <w:pPr>
        <w:spacing w:before="360"/>
      </w:pPr>
      <w:r>
        <w:rPr>
          <w:b/>
          <w:color w:val="008CA0"/>
          <w:sz w:val="16"/>
        </w:rPr>
        <w:t>THE CLOSURE QUESTION</w:t>
      </w:r>
    </w:p>
    <w:p>
      <w:pPr>
        <w:pStyle w:val="Callout"/>
      </w:pPr>
      <w:r>
        <w:t>Could a qualified operator who did not participate explain the current evidence state, next owner, safety gate, and validation from the record alone?</w:t>
      </w:r>
    </w:p>
    <w:sectPr w:rsidR="00FC693F" w:rsidRPr="0006063C" w:rsidSect="00034616">
      <w:headerReference w:type="default" r:id="rId11"/>
      <w:footerReference w:type="default" r:id="rId12"/>
      <w:pgSz w:w="12240" w:h="15840"/>
      <w:pgMar w:top="936" w:right="1080" w:bottom="936" w:left="108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b/>
        <w:color w:val="5A6978"/>
        <w:sz w:val="16"/>
      </w:rPr>
      <w:t xml:space="preserve">PAGE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b/>
        <w:color w:val="5A6978"/>
        <w:sz w:val="16"/>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hapterEyebrow"/>
      <w:jc w:val="left"/>
    </w:pPr>
    <w:r>
      <w:t>OGO™ - OPRYNTA™ GUIDE OPS  /  USER &amp; TEAM OPERATING PLAYBOOK</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hapterEyebrow"/>
    </w:pPr>
    <w:r>
      <w:t>OGO™ - OPRYNTA™ GUIDE OPS  /  FIELD REFERENCE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Aptos" w:hAnsi="Aptos"/>
      <w:color w:val="36414E"/>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082333"/>
      <w:sz w:val="5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007488"/>
      <w:sz w:val="32"/>
      <w:szCs w:val="26"/>
    </w:rPr>
  </w:style>
  <w:style w:type="paragraph" w:styleId="Heading3">
    <w:name w:val="heading 3"/>
    <w:basedOn w:val="Normal"/>
    <w:next w:val="Normal"/>
    <w:link w:val="Heading3Char"/>
    <w:uiPriority w:val="9"/>
    <w:unhideWhenUsed/>
    <w:qFormat/>
    <w:rsid w:val="00FC693F"/>
    <w:pPr>
      <w:keepNext/>
      <w:keepLines/>
      <w:spacing w:before="100" w:after="50"/>
      <w:outlineLvl w:val="2"/>
    </w:pPr>
    <w:rPr>
      <w:rFonts w:asciiTheme="majorHAnsi" w:eastAsiaTheme="majorEastAsia" w:hAnsiTheme="majorHAnsi" w:cstheme="majorBidi" w:ascii="Aptos Display" w:hAnsi="Aptos Display"/>
      <w:b/>
      <w:bCs/>
      <w:color w:val="30425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40" w:line="240" w:lineRule="auto" w:before="280"/>
      <w:contextualSpacing/>
    </w:pPr>
    <w:rPr>
      <w:rFonts w:asciiTheme="majorHAnsi" w:eastAsiaTheme="majorEastAsia" w:hAnsiTheme="majorHAnsi" w:cstheme="majorBidi" w:ascii="Aptos Display" w:hAnsi="Aptos Display"/>
      <w:b/>
      <w:color w:val="071622"/>
      <w:spacing w:val="5"/>
      <w:kern w:val="28"/>
      <w:sz w:val="7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Eyebrow">
    <w:name w:val="Chapter Eyebrow"/>
    <w:pPr>
      <w:spacing w:after="160"/>
    </w:pPr>
    <w:rPr>
      <w:rFonts w:ascii="Aptos" w:hAnsi="Aptos"/>
      <w:b/>
      <w:color w:val="0096AF"/>
      <w:sz w:val="16"/>
    </w:rPr>
  </w:style>
  <w:style w:type="paragraph" w:customStyle="1" w:styleId="Callout">
    <w:name w:val="Callout"/>
    <w:pPr>
      <w:spacing w:before="140" w:after="140"/>
      <w:ind w:left="288" w:right="288"/>
    </w:pPr>
    <w:rPr>
      <w:rFonts w:ascii="Aptos" w:hAnsi="Aptos"/>
      <w:b/>
      <w:color w:val="0A4452"/>
      <w:sz w:val="20"/>
    </w:rPr>
  </w:style>
  <w:style w:type="paragraph" w:customStyle="1" w:styleId="CodeBlock">
    <w:name w:val="Code Block"/>
    <w:pPr>
      <w:spacing w:before="80" w:after="80"/>
      <w:ind w:left="288" w:right="288"/>
    </w:pPr>
    <w:rPr>
      <w:rFonts w:ascii="Liberation Mono" w:hAnsi="Liberation Mono"/>
      <w:color w:val="0F324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OGO User and Team Operating Playbook - Documentation Edition</dc:title>
  <dc:subject>Searchable operating documentation and offline field edition</dc:subject>
  <dc:creator>Oprynta</dc:creator>
  <cp:keywords>OGO, Oprynta Guide Ops, operating playbook, evidence, incident, documentation</cp:keywords>
  <dc:description>Edition 3.7.1 - July 24, 2026</dc:description>
  <cp:lastModifiedBy/>
  <cp:revision>1</cp:revision>
  <dcterms:created xsi:type="dcterms:W3CDTF">2013-12-23T23:15:00Z</dcterms:created>
  <dcterms:modified xsi:type="dcterms:W3CDTF">2013-12-23T23:15:00Z</dcterms:modified>
  <cp:category/>
</cp:coreProperties>
</file>